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14B0D" w14:textId="6F1491FC" w:rsidR="00642A89" w:rsidRPr="00C208F5" w:rsidRDefault="004A6855" w:rsidP="00E16C3B">
      <w:pPr>
        <w:jc w:val="center"/>
        <w:rPr>
          <w:b/>
          <w:bCs/>
          <w:smallCaps/>
          <w:sz w:val="28"/>
          <w:szCs w:val="28"/>
          <w:lang w:val="fr-ML"/>
        </w:rPr>
      </w:pPr>
      <w:r>
        <w:rPr>
          <w:b/>
          <w:bCs/>
          <w:smallCaps/>
          <w:noProof/>
          <w:sz w:val="28"/>
          <w:szCs w:val="28"/>
        </w:rPr>
        <w:drawing>
          <wp:anchor distT="0" distB="0" distL="114300" distR="114300" simplePos="0" relativeHeight="251659264" behindDoc="0" locked="0" layoutInCell="1" allowOverlap="1" wp14:anchorId="1F490DD0" wp14:editId="66ADF55D">
            <wp:simplePos x="0" y="0"/>
            <wp:positionH relativeFrom="margin">
              <wp:align>left</wp:align>
            </wp:positionH>
            <wp:positionV relativeFrom="topMargin">
              <wp:align>bottom</wp:align>
            </wp:positionV>
            <wp:extent cx="1490472" cy="585216"/>
            <wp:effectExtent l="0" t="0" r="0" b="0"/>
            <wp:wrapTopAndBottom/>
            <wp:docPr id="12498531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0472" cy="585216"/>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smallCaps/>
          <w:noProof/>
          <w:sz w:val="28"/>
          <w:szCs w:val="28"/>
        </w:rPr>
        <w:drawing>
          <wp:anchor distT="0" distB="0" distL="114300" distR="114300" simplePos="0" relativeHeight="251658240" behindDoc="0" locked="0" layoutInCell="1" allowOverlap="1" wp14:anchorId="570D3402" wp14:editId="23528536">
            <wp:simplePos x="0" y="0"/>
            <wp:positionH relativeFrom="margin">
              <wp:align>right</wp:align>
            </wp:positionH>
            <wp:positionV relativeFrom="page">
              <wp:align>top</wp:align>
            </wp:positionV>
            <wp:extent cx="1490472" cy="1069848"/>
            <wp:effectExtent l="0" t="0" r="0" b="0"/>
            <wp:wrapTopAndBottom/>
            <wp:docPr id="3387941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90472" cy="10698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05D2" w:rsidRPr="00C208F5">
        <w:rPr>
          <w:b/>
          <w:bCs/>
          <w:smallCaps/>
          <w:sz w:val="28"/>
          <w:szCs w:val="28"/>
          <w:lang w:val="fr-ML"/>
        </w:rPr>
        <w:t xml:space="preserve">Planification de la mise </w:t>
      </w:r>
      <w:r w:rsidR="00E16C3B" w:rsidRPr="00C208F5">
        <w:rPr>
          <w:b/>
          <w:bCs/>
          <w:smallCaps/>
          <w:sz w:val="28"/>
          <w:szCs w:val="28"/>
          <w:lang w:val="fr-ML"/>
        </w:rPr>
        <w:t>en œuvre</w:t>
      </w:r>
      <w:r w:rsidR="000205D2" w:rsidRPr="00C208F5">
        <w:rPr>
          <w:b/>
          <w:bCs/>
          <w:smallCaps/>
          <w:sz w:val="28"/>
          <w:szCs w:val="28"/>
          <w:lang w:val="fr-ML"/>
        </w:rPr>
        <w:t xml:space="preserve"> du SRS </w:t>
      </w:r>
      <w:r w:rsidR="00E16C3B" w:rsidRPr="00C208F5">
        <w:rPr>
          <w:b/>
          <w:bCs/>
          <w:smallCaps/>
          <w:sz w:val="28"/>
          <w:szCs w:val="28"/>
          <w:lang w:val="fr-ML"/>
        </w:rPr>
        <w:t xml:space="preserve">- </w:t>
      </w:r>
      <w:r w:rsidR="000205D2" w:rsidRPr="00C208F5">
        <w:rPr>
          <w:b/>
          <w:bCs/>
          <w:smallCaps/>
          <w:sz w:val="28"/>
          <w:szCs w:val="28"/>
          <w:lang w:val="fr-ML"/>
        </w:rPr>
        <w:t>Évaluation des données sur la mortalité</w:t>
      </w:r>
    </w:p>
    <w:p w14:paraId="5A21901A" w14:textId="22BD9CAB" w:rsidR="00371779" w:rsidRPr="00C208F5" w:rsidRDefault="003E373A" w:rsidP="00AB34A4">
      <w:pPr>
        <w:jc w:val="center"/>
        <w:rPr>
          <w:b/>
          <w:bCs/>
          <w:smallCaps/>
          <w:sz w:val="24"/>
          <w:szCs w:val="24"/>
          <w:u w:val="single"/>
          <w:lang w:val="fr-ML"/>
        </w:rPr>
      </w:pPr>
      <w:r w:rsidRPr="4887D5E5">
        <w:rPr>
          <w:b/>
          <w:bCs/>
          <w:smallCaps/>
          <w:sz w:val="24"/>
          <w:szCs w:val="24"/>
          <w:u w:val="single"/>
        </w:rPr>
        <w:t>Orientations</w:t>
      </w:r>
      <w:r w:rsidR="00D25E2C" w:rsidRPr="4887D5E5">
        <w:rPr>
          <w:b/>
          <w:bCs/>
          <w:smallCaps/>
          <w:sz w:val="24"/>
          <w:szCs w:val="24"/>
          <w:u w:val="single"/>
        </w:rPr>
        <w:t xml:space="preserve"> indicatives</w:t>
      </w:r>
    </w:p>
    <w:p w14:paraId="53810B41" w14:textId="2C574153" w:rsidR="002677C3" w:rsidRPr="00C208F5" w:rsidRDefault="15A10536" w:rsidP="15A10536">
      <w:pPr>
        <w:spacing w:after="0"/>
        <w:rPr>
          <w:lang w:val="fr-ML"/>
        </w:rPr>
      </w:pPr>
      <w:r>
        <w:t>[</w:t>
      </w:r>
      <w:r w:rsidRPr="4887D5E5">
        <w:rPr>
          <w:i/>
          <w:iCs/>
        </w:rPr>
        <w:t>Remarque à l'intention de l'équipe nationale : veuillez développer la section « Contexte » ci-dessous afin de l'adapter à la situation spécifique de votre pays. Fournissez des données contextuelles spécifiques sur la mortalité et d'autres populations, ainsi que des informations sur la santé. Ajoutez toute justification supplémentaire pour l'évaluation</w:t>
      </w:r>
      <w:r>
        <w:t>.</w:t>
      </w:r>
    </w:p>
    <w:p w14:paraId="243558DF" w14:textId="77777777" w:rsidR="002677C3" w:rsidRPr="00C208F5" w:rsidRDefault="002677C3">
      <w:pPr>
        <w:rPr>
          <w:b/>
          <w:bCs/>
          <w:lang w:val="fr-ML"/>
        </w:rPr>
      </w:pPr>
    </w:p>
    <w:p w14:paraId="70C629EA" w14:textId="32F1BBB9" w:rsidR="00970D1E" w:rsidRPr="00C208F5" w:rsidRDefault="00E555FC">
      <w:pPr>
        <w:rPr>
          <w:b/>
          <w:bCs/>
          <w:smallCaps/>
          <w:sz w:val="24"/>
          <w:szCs w:val="24"/>
          <w:lang w:val="fr-ML"/>
        </w:rPr>
      </w:pPr>
      <w:r w:rsidRPr="4887D5E5">
        <w:rPr>
          <w:b/>
          <w:bCs/>
          <w:smallCaps/>
          <w:sz w:val="24"/>
          <w:szCs w:val="24"/>
        </w:rPr>
        <w:t xml:space="preserve">Justification de </w:t>
      </w:r>
      <w:r w:rsidR="00B33100" w:rsidRPr="4887D5E5">
        <w:rPr>
          <w:b/>
          <w:bCs/>
          <w:smallCaps/>
          <w:sz w:val="24"/>
          <w:szCs w:val="24"/>
        </w:rPr>
        <w:t xml:space="preserve">la réalisation d'une </w:t>
      </w:r>
      <w:r w:rsidRPr="4887D5E5">
        <w:rPr>
          <w:b/>
          <w:bCs/>
          <w:smallCaps/>
          <w:sz w:val="24"/>
          <w:szCs w:val="24"/>
        </w:rPr>
        <w:t>évaluation</w:t>
      </w:r>
      <w:r w:rsidR="00B33100" w:rsidRPr="4887D5E5">
        <w:rPr>
          <w:b/>
          <w:bCs/>
          <w:smallCaps/>
          <w:sz w:val="24"/>
          <w:szCs w:val="24"/>
        </w:rPr>
        <w:t xml:space="preserve"> des systèmes</w:t>
      </w:r>
      <w:r w:rsidRPr="4887D5E5">
        <w:rPr>
          <w:b/>
          <w:bCs/>
          <w:smallCaps/>
          <w:sz w:val="24"/>
          <w:szCs w:val="24"/>
        </w:rPr>
        <w:t xml:space="preserve"> de mortalité </w:t>
      </w:r>
      <w:r w:rsidR="00FF2215" w:rsidRPr="4887D5E5">
        <w:rPr>
          <w:b/>
          <w:bCs/>
          <w:smallCaps/>
          <w:sz w:val="24"/>
          <w:szCs w:val="24"/>
        </w:rPr>
        <w:t>:</w:t>
      </w:r>
    </w:p>
    <w:p w14:paraId="3E22FFBD" w14:textId="06B4E2FF" w:rsidR="00964BA9" w:rsidRPr="00C208F5" w:rsidRDefault="1CFB2D60">
      <w:pPr>
        <w:rPr>
          <w:lang w:val="fr-ML"/>
        </w:rPr>
      </w:pPr>
      <w:r w:rsidRPr="4887D5E5">
        <w:rPr>
          <w:i/>
          <w:iCs/>
        </w:rPr>
        <w:t>Le</w:t>
      </w:r>
      <w:r>
        <w:t xml:space="preserve"> [</w:t>
      </w:r>
      <w:r w:rsidRPr="4887D5E5">
        <w:rPr>
          <w:i/>
          <w:iCs/>
        </w:rPr>
        <w:t>pays</w:t>
      </w:r>
      <w:r>
        <w:t xml:space="preserve">] ne dispose pas de données représentatives à l'échelle nationale sur </w:t>
      </w:r>
      <w:r w:rsidR="00AB34A4">
        <w:t>la mortalité</w:t>
      </w:r>
      <w:r>
        <w:t xml:space="preserve"> toutes causes confondues et tous âges confondus </w:t>
      </w:r>
      <w:r w:rsidR="00AB34A4">
        <w:t xml:space="preserve">pour </w:t>
      </w:r>
      <w:r>
        <w:t>comprendre avec précision la situation actuelle en matière de santé publique et être en mesure d'évaluer l'efficacité des programmes et des politiques de santé mis en œuvre, de formuler des programmes et des politiques fondés sur des données probantes et d'allouer de manière appropriée les ressources aux différents secteurs de la santé et aux différentes zones géographiques.</w:t>
      </w:r>
    </w:p>
    <w:p w14:paraId="4DFA1A61" w14:textId="39A9B621" w:rsidR="00964BA9" w:rsidRPr="004F65FC" w:rsidRDefault="1CFB2D60">
      <w:pPr>
        <w:rPr>
          <w:lang w:val="fr-ML"/>
        </w:rPr>
      </w:pPr>
      <w:r>
        <w:t xml:space="preserve">Les principales sources de données, telles que le système d'enregistrement et de déclaration des naissances et des </w:t>
      </w:r>
      <w:r w:rsidRPr="004F65FC">
        <w:t>décès (CRVS), le système d'information sanitaire et d'autres systèmes de surveillance tels que la surveillance et la réponse aux décès maternels et périnataux, sont insuffisantes pour produire les statistiques vitales nécessaires qui soient représentatives à l'échelle nationale et aient des niveaux de couverture élevés.</w:t>
      </w:r>
    </w:p>
    <w:p w14:paraId="66B77DEB" w14:textId="53E78155" w:rsidR="00964BA9" w:rsidRPr="004F65FC" w:rsidRDefault="1CFB2D60">
      <w:pPr>
        <w:rPr>
          <w:lang w:val="fr-ML"/>
        </w:rPr>
      </w:pPr>
      <w:r w:rsidRPr="004F65FC">
        <w:rPr>
          <w:i/>
          <w:iCs/>
        </w:rPr>
        <w:t>Le</w:t>
      </w:r>
      <w:r w:rsidRPr="004F65FC">
        <w:t xml:space="preserve"> [</w:t>
      </w:r>
      <w:r w:rsidRPr="004F65FC">
        <w:rPr>
          <w:i/>
          <w:iCs/>
        </w:rPr>
        <w:t>pays</w:t>
      </w:r>
      <w:r w:rsidRPr="004F65FC">
        <w:t>] s'appuie sur des enquêtes ménagères peu fréquentes pour obtenir des données sur la mortalité, et les données modélisées reposent principalement sur des données externes et sont produites par les Nations unies pour le suivi des objectifs de développement durable (ODD) en matière de santé.  En outre, les données sur la mortalité issues des enquêtes auprès des ménages sont généralement limitées à un groupe d'âge restreint (par exemple, les enfants de moins de cinq ans) ou à un événement spécifique (par exemple, la mortalité maternelle) et ne fournissent pas d'informations sur la cause du décès ; ainsi, les enquêtes ne donnent actuellement pas une image de la situation dans les différents groupes d'âge ni des causes de décès qui pourraient être ciblées.</w:t>
      </w:r>
    </w:p>
    <w:p w14:paraId="142A3048" w14:textId="59102B18" w:rsidR="00964BA9" w:rsidRPr="004F65FC" w:rsidRDefault="00964BA9">
      <w:pPr>
        <w:rPr>
          <w:lang w:val="fr-ML"/>
        </w:rPr>
      </w:pPr>
      <w:r w:rsidRPr="004F65FC">
        <w:rPr>
          <w:lang w:val="fr-ML"/>
        </w:rPr>
        <w:t xml:space="preserve">Le gouvernement a reconnu la nécessité de </w:t>
      </w:r>
      <w:r w:rsidR="26A41988" w:rsidRPr="004F65FC">
        <w:rPr>
          <w:lang w:val="fr-ML"/>
        </w:rPr>
        <w:t>disposer de</w:t>
      </w:r>
      <w:r w:rsidRPr="004F65FC">
        <w:rPr>
          <w:lang w:val="fr-ML"/>
        </w:rPr>
        <w:t xml:space="preserve"> données plus régulières sur la mortalité</w:t>
      </w:r>
      <w:r w:rsidR="26A41988" w:rsidRPr="004F65FC">
        <w:rPr>
          <w:lang w:val="fr-ML"/>
        </w:rPr>
        <w:t xml:space="preserve">, comprenant des informations sur les causes, l'âge et le sexe, tant au niveau national que régional, </w:t>
      </w:r>
      <w:r w:rsidR="006203BD" w:rsidRPr="004F65FC">
        <w:rPr>
          <w:lang w:val="fr-ML"/>
        </w:rPr>
        <w:t>et prend des mesures pour mettre en place un système intégré de surveillance de la mortalité</w:t>
      </w:r>
      <w:r w:rsidR="00524EA7" w:rsidRPr="004F65FC">
        <w:rPr>
          <w:lang w:val="fr-ML"/>
        </w:rPr>
        <w:t>.</w:t>
      </w:r>
      <w:r w:rsidR="00524EA7" w:rsidRPr="004F65FC">
        <w:rPr>
          <w:rStyle w:val="FootnoteReference"/>
        </w:rPr>
        <w:footnoteReference w:id="2"/>
      </w:r>
    </w:p>
    <w:p w14:paraId="5F23DB6D" w14:textId="2C818119" w:rsidR="006203BD" w:rsidRPr="00C208F5" w:rsidRDefault="1109F071">
      <w:pPr>
        <w:rPr>
          <w:lang w:val="fr-ML"/>
        </w:rPr>
      </w:pPr>
      <w:r w:rsidRPr="004F65FC">
        <w:t>Dans le cadre de cette initiative, le gouvernement lance la mise en place d'un système national d'enregistrement par échantillonnage (SRS) afin de produire des statistiques fréquentes et actualisées sur la mortalité aux niveaux national et infranational. À l'instar des enquêtes nationales, le SRS s'appuiera sur un échantillon de la population réparti dans des groupes géographiques à l'échelle nationale</w:t>
      </w:r>
      <w:r>
        <w:t xml:space="preserve">, mais sélectionné de manière à produire des estimations </w:t>
      </w:r>
      <w:r>
        <w:lastRenderedPageBreak/>
        <w:t xml:space="preserve">représentatives des taux et </w:t>
      </w:r>
      <w:r w:rsidR="00955158">
        <w:t>des causes</w:t>
      </w:r>
      <w:r>
        <w:t xml:space="preserve"> de mortalité aux niveaux national et infranational, par âge et par sexe. Il fournira également des informations beaucoup plus fréquentes, ce qui permettra de mieux suivre les progrès et de réagir plus rapidement et de manière plus ciblée aux épidémies ou aux crises démographiques.</w:t>
      </w:r>
    </w:p>
    <w:p w14:paraId="2A9F294F" w14:textId="55BC68F1" w:rsidR="006203BD" w:rsidRPr="00C208F5" w:rsidRDefault="00262545">
      <w:pPr>
        <w:rPr>
          <w:lang w:val="fr-ML"/>
        </w:rPr>
      </w:pPr>
      <w:r>
        <w:t xml:space="preserve">La Fondation Bill et Melinda Gates  </w:t>
      </w:r>
      <w:r w:rsidR="006203BD">
        <w:t xml:space="preserve">apporte un soutien financier aux activités de planification visant à élaborer un protocole solide et chiffré pour </w:t>
      </w:r>
      <w:r w:rsidR="003E373A" w:rsidRPr="00AF76E2">
        <w:t xml:space="preserve">un </w:t>
      </w:r>
      <w:r w:rsidR="006203BD" w:rsidRPr="00AF76E2">
        <w:t xml:space="preserve">SRS </w:t>
      </w:r>
      <w:r w:rsidR="007C188B" w:rsidRPr="00AF76E2">
        <w:t>qui</w:t>
      </w:r>
      <w:r w:rsidR="007C188B">
        <w:t xml:space="preserve"> s'appuie sur </w:t>
      </w:r>
      <w:r w:rsidR="007B00CC">
        <w:t xml:space="preserve">les systèmes et processus </w:t>
      </w:r>
      <w:r w:rsidR="007C188B">
        <w:t>existants et s'intègre à ceux-ci</w:t>
      </w:r>
      <w:r w:rsidR="006203BD">
        <w:t xml:space="preserve">. Dans le cadre de cette planification, une évaluation complète du paysage des données sur la mortalité et les causes de décès en sera réalisée. Ce protocole décrit les activités </w:t>
      </w:r>
      <w:r w:rsidR="00E84611">
        <w:t xml:space="preserve">à mener </w:t>
      </w:r>
      <w:r w:rsidR="006203BD">
        <w:t xml:space="preserve">pour cette évaluation </w:t>
      </w:r>
      <w:r w:rsidR="00B6559C">
        <w:t>de la mortalité.</w:t>
      </w:r>
    </w:p>
    <w:p w14:paraId="2B1410B7" w14:textId="2AB9BF6E" w:rsidR="006203BD" w:rsidRPr="00C208F5" w:rsidRDefault="00B6559C">
      <w:pPr>
        <w:rPr>
          <w:smallCaps/>
          <w:sz w:val="24"/>
          <w:szCs w:val="24"/>
          <w:lang w:val="fr-ML"/>
        </w:rPr>
      </w:pPr>
      <w:r w:rsidRPr="4887D5E5">
        <w:rPr>
          <w:b/>
          <w:bCs/>
          <w:smallCaps/>
          <w:sz w:val="24"/>
          <w:szCs w:val="24"/>
        </w:rPr>
        <w:t>Object</w:t>
      </w:r>
      <w:r w:rsidR="00FF2215" w:rsidRPr="4887D5E5">
        <w:rPr>
          <w:smallCaps/>
          <w:sz w:val="24"/>
          <w:szCs w:val="24"/>
        </w:rPr>
        <w:t>ifs</w:t>
      </w:r>
    </w:p>
    <w:p w14:paraId="6E215C5C" w14:textId="0D68735A" w:rsidR="000205D2" w:rsidRPr="00C208F5" w:rsidRDefault="0092611F">
      <w:pPr>
        <w:rPr>
          <w:lang w:val="fr-ML"/>
        </w:rPr>
      </w:pPr>
      <w:r>
        <w:t xml:space="preserve">L'évaluation vise à </w:t>
      </w:r>
      <w:r w:rsidR="000205D2">
        <w:t xml:space="preserve">comprendre les systèmes et les plateformes existants de collecte et d'utilisation des données sur la mortalité, leur fonctionnement, leur interopérabilité, </w:t>
      </w:r>
      <w:r>
        <w:t xml:space="preserve">les parties prenantes </w:t>
      </w:r>
      <w:r w:rsidR="000205D2">
        <w:t xml:space="preserve">et la manière dont ils peuvent contribuer à </w:t>
      </w:r>
      <w:r>
        <w:t xml:space="preserve">l'élaboration et </w:t>
      </w:r>
      <w:r w:rsidR="000205D2">
        <w:t xml:space="preserve">à </w:t>
      </w:r>
      <w:r>
        <w:t xml:space="preserve">la pérennité </w:t>
      </w:r>
      <w:r w:rsidR="000205D2">
        <w:t xml:space="preserve">d'un système d'enregistrement par échantillonnage de la mortalité et des causes de décès dans le pays. </w:t>
      </w:r>
    </w:p>
    <w:p w14:paraId="58E5B212" w14:textId="00C807E6" w:rsidR="000205D2" w:rsidRDefault="000205D2">
      <w:r>
        <w:t>Plus précisément, l'évaluation permettra :</w:t>
      </w:r>
    </w:p>
    <w:p w14:paraId="14384CC6" w14:textId="3A38A1A6" w:rsidR="00371779" w:rsidRPr="00C208F5" w:rsidRDefault="5D892BD1" w:rsidP="000205D2">
      <w:pPr>
        <w:pStyle w:val="ListParagraph"/>
        <w:numPr>
          <w:ilvl w:val="0"/>
          <w:numId w:val="3"/>
        </w:numPr>
        <w:rPr>
          <w:lang w:val="fr-ML"/>
        </w:rPr>
      </w:pPr>
      <w:r>
        <w:t>Identifier et décrire les principales parties prenantes des données sur la mortalité en termes de causes et de groupes d'âge ciblés, de producteurs, de gestionnaires et d'utilisateurs de données, ainsi que de bailleurs de fonds, leur politique institutionnelle et leur mandat légal, et leur couverture géographique.</w:t>
      </w:r>
    </w:p>
    <w:p w14:paraId="31371F04" w14:textId="21BABED9" w:rsidR="000205D2" w:rsidRPr="00C208F5" w:rsidRDefault="000205D2" w:rsidP="000205D2">
      <w:pPr>
        <w:pStyle w:val="ListParagraph"/>
        <w:numPr>
          <w:ilvl w:val="0"/>
          <w:numId w:val="3"/>
        </w:numPr>
        <w:rPr>
          <w:lang w:val="fr-ML"/>
        </w:rPr>
      </w:pPr>
      <w:r>
        <w:t>Cartographier et décrire tous les systèmes ou plateformes nationaux et infranationaux de collecte et de compilation des données sur la mortalité</w:t>
      </w:r>
      <w:r w:rsidR="007A4FC8">
        <w:t>, ainsi que les différents acteurs.</w:t>
      </w:r>
    </w:p>
    <w:p w14:paraId="17B4D4DA" w14:textId="299E301A" w:rsidR="000205D2" w:rsidRPr="00C208F5" w:rsidRDefault="5D892BD1" w:rsidP="000205D2">
      <w:pPr>
        <w:pStyle w:val="ListParagraph"/>
        <w:numPr>
          <w:ilvl w:val="0"/>
          <w:numId w:val="3"/>
        </w:numPr>
        <w:rPr>
          <w:lang w:val="fr-ML"/>
        </w:rPr>
      </w:pPr>
      <w:r>
        <w:t>Décrire les niveaux actuels de fonctionnement de ces plateformes en termes de couverture géographique et de représentativité, de type de données collectées (individuelles, agrégées, par âge et par sexe), de qualité des données et d'indicateurs de mortalité dérivés, le cas échéant, ainsi que leur période de référence.  En outre, indiquer le niveau « optimal » souhaité et le délai prévu pour l'atteindre.</w:t>
      </w:r>
    </w:p>
    <w:p w14:paraId="18187B0C" w14:textId="7F426B47" w:rsidR="00371779" w:rsidRPr="00C208F5" w:rsidRDefault="2DDC4E19" w:rsidP="000205D2">
      <w:pPr>
        <w:pStyle w:val="ListParagraph"/>
        <w:numPr>
          <w:ilvl w:val="0"/>
          <w:numId w:val="3"/>
        </w:numPr>
        <w:rPr>
          <w:lang w:val="fr-ML"/>
        </w:rPr>
      </w:pPr>
      <w:r>
        <w:t>Identifier et décrire l'expérience du pays en matière d'utilisation de solutions numériques pour la collecte de données sur la mortalité et les possibilités de collecte, d'analyse et de communication de données en temps réel.</w:t>
      </w:r>
    </w:p>
    <w:p w14:paraId="0478E7EA" w14:textId="34A82445" w:rsidR="000205D2" w:rsidRPr="00C208F5" w:rsidRDefault="2DDC4E19" w:rsidP="000205D2">
      <w:pPr>
        <w:pStyle w:val="ListParagraph"/>
        <w:numPr>
          <w:ilvl w:val="0"/>
          <w:numId w:val="3"/>
        </w:numPr>
        <w:rPr>
          <w:lang w:val="fr-ML"/>
        </w:rPr>
      </w:pPr>
      <w:r>
        <w:t xml:space="preserve">Comprenez les liens et la manière dont les données sont partagées entre les systèmes existants, ainsi que les possibilités de synergie entre les systèmes ; </w:t>
      </w:r>
      <w:r w:rsidRPr="4887D5E5">
        <w:rPr>
          <w:rStyle w:val="cf01"/>
          <w:rFonts w:asciiTheme="minorHAnsi" w:hAnsiTheme="minorHAnsi"/>
          <w:sz w:val="22"/>
          <w:szCs w:val="22"/>
        </w:rPr>
        <w:t>décrivez également le flux d'informations entre les institutions.</w:t>
      </w:r>
    </w:p>
    <w:p w14:paraId="7CA79F93" w14:textId="3BDBB062" w:rsidR="00970D1E" w:rsidRPr="00C208F5" w:rsidRDefault="2DDC4E19" w:rsidP="000205D2">
      <w:pPr>
        <w:pStyle w:val="ListParagraph"/>
        <w:numPr>
          <w:ilvl w:val="0"/>
          <w:numId w:val="3"/>
        </w:numPr>
        <w:rPr>
          <w:lang w:val="fr-ML"/>
        </w:rPr>
      </w:pPr>
      <w:r w:rsidRPr="4887D5E5">
        <w:rPr>
          <w:rStyle w:val="cf01"/>
          <w:rFonts w:asciiTheme="minorHAnsi" w:hAnsiTheme="minorHAnsi"/>
          <w:sz w:val="22"/>
          <w:szCs w:val="22"/>
        </w:rPr>
        <w:t>Identifier (et inclure en annexe) les formulaires de saisie des données et les éléments de données saisis par les formulaires identifiés utilisés par chaque institution.</w:t>
      </w:r>
    </w:p>
    <w:p w14:paraId="16A2AD7C" w14:textId="3AD2C443" w:rsidR="007A4FC8" w:rsidRPr="00AF76E2" w:rsidRDefault="2DDC4E19" w:rsidP="000205D2">
      <w:pPr>
        <w:pStyle w:val="ListParagraph"/>
        <w:numPr>
          <w:ilvl w:val="0"/>
          <w:numId w:val="3"/>
        </w:numPr>
        <w:rPr>
          <w:lang w:val="fr-ML"/>
        </w:rPr>
      </w:pPr>
      <w:r>
        <w:t xml:space="preserve">Résumer les recommandations sur la manière dont le système actuel de surveillance de la mortalité peut être amélioré et comment </w:t>
      </w:r>
      <w:r w:rsidRPr="00AF76E2">
        <w:t xml:space="preserve">un SRS fonctionnel peut contribuer spécifiquement à ces améliorations, en tenant compte du paysage actuel des données sur la mortalité dans le pays. </w:t>
      </w:r>
    </w:p>
    <w:p w14:paraId="703E6CB5" w14:textId="5332777D" w:rsidR="007A4FC8" w:rsidRPr="00AF76E2" w:rsidRDefault="2DDC4E19" w:rsidP="000205D2">
      <w:pPr>
        <w:pStyle w:val="ListParagraph"/>
        <w:numPr>
          <w:ilvl w:val="0"/>
          <w:numId w:val="3"/>
        </w:numPr>
        <w:rPr>
          <w:lang w:val="fr-ML"/>
        </w:rPr>
      </w:pPr>
      <w:r w:rsidRPr="00AF76E2">
        <w:t xml:space="preserve">Un aperçu indicatif du rapport d'évaluation final est inclus dans la section « Rapport » ci-dessous. </w:t>
      </w:r>
    </w:p>
    <w:p w14:paraId="5926C5BF" w14:textId="6ACD00B7" w:rsidR="00A25833" w:rsidRPr="00AF76E2" w:rsidRDefault="00A25833" w:rsidP="0084665E">
      <w:pPr>
        <w:rPr>
          <w:b/>
          <w:bCs/>
          <w:smallCaps/>
          <w:sz w:val="24"/>
          <w:szCs w:val="24"/>
          <w:lang w:val="fr-ML"/>
        </w:rPr>
      </w:pPr>
      <w:r w:rsidRPr="00AF76E2">
        <w:rPr>
          <w:b/>
          <w:bCs/>
          <w:smallCaps/>
          <w:sz w:val="24"/>
          <w:szCs w:val="24"/>
        </w:rPr>
        <w:t xml:space="preserve">Équipe de mise en œuvre </w:t>
      </w:r>
      <w:r w:rsidR="00FF2215" w:rsidRPr="00AF76E2">
        <w:rPr>
          <w:b/>
          <w:bCs/>
          <w:smallCaps/>
          <w:sz w:val="24"/>
          <w:szCs w:val="24"/>
        </w:rPr>
        <w:t>:</w:t>
      </w:r>
    </w:p>
    <w:p w14:paraId="1441BC82" w14:textId="5939F86F" w:rsidR="15A10536" w:rsidRPr="00C208F5" w:rsidRDefault="15A10536">
      <w:pPr>
        <w:rPr>
          <w:lang w:val="fr-ML"/>
        </w:rPr>
      </w:pPr>
      <w:r w:rsidRPr="00AF76E2">
        <w:lastRenderedPageBreak/>
        <w:t>Les conclusions de l'évaluation serviront à concevoir un SRS pour le pays. Il est essentiel que, dès le début, les acteurs clés soient identifiés et associés à l'évaluation. Il s'agit notamment de représentants du ministère de la Santé (départements chargés du suivi et de l'évaluation, de la planification, de la santé publique et de la santé communautaire), d'autres ministères concernés (par exemple, le ministère chargé du CRVS, des structures communautaires, etc.), d'institutions techniques internes et externes de santé publique (par exemple, l'Institut national de santé publique, l'Institut national de statistique), d'universités</w:t>
      </w:r>
      <w:r>
        <w:t xml:space="preserve">, d'agences bilatérales et multilatérales, etc. Envisager la création d'un comité consultatif technique (s'il n'existe pas déjà) pour soutenir l'initiative, avec </w:t>
      </w:r>
      <w:r w:rsidR="1E4D3F65">
        <w:t xml:space="preserve">le soutien </w:t>
      </w:r>
      <w:r>
        <w:t xml:space="preserve">des hautes instances gouvernementales compétentes. Les représentants des institutions membres de ce comité devraient participer aux visites sur le terrain, aux activités de formation, aux discussions sur les résultats et au partage des informations. </w:t>
      </w:r>
      <w:r>
        <w:br w:type="page"/>
      </w:r>
    </w:p>
    <w:p w14:paraId="51CCEACA" w14:textId="2D269F0A" w:rsidR="00371779" w:rsidRPr="00C208F5" w:rsidRDefault="00371779" w:rsidP="0084665E">
      <w:pPr>
        <w:rPr>
          <w:smallCaps/>
          <w:sz w:val="24"/>
          <w:szCs w:val="24"/>
          <w:lang w:val="fr-ML"/>
        </w:rPr>
      </w:pPr>
      <w:r w:rsidRPr="4887D5E5">
        <w:rPr>
          <w:b/>
          <w:bCs/>
          <w:smallCaps/>
          <w:sz w:val="24"/>
          <w:szCs w:val="24"/>
        </w:rPr>
        <w:lastRenderedPageBreak/>
        <w:t xml:space="preserve">Méthodes </w:t>
      </w:r>
      <w:r w:rsidR="00FF2215" w:rsidRPr="4887D5E5">
        <w:rPr>
          <w:smallCaps/>
          <w:sz w:val="24"/>
          <w:szCs w:val="24"/>
        </w:rPr>
        <w:t>:</w:t>
      </w:r>
    </w:p>
    <w:p w14:paraId="2526A447" w14:textId="077CF19E" w:rsidR="00E74663" w:rsidRPr="00C208F5" w:rsidRDefault="297A06A2" w:rsidP="0084665E">
      <w:pPr>
        <w:rPr>
          <w:lang w:val="fr-ML"/>
        </w:rPr>
      </w:pPr>
      <w:r>
        <w:t>Deux approches complémentaires devraient être prévues : (a) une analyse documentaire initiale qui peut aider à affiner les objectifs de l'évaluation et à déterminer (b) les activités supplémentaires spécifiques de collecte de données, y compris les visites sur site à effectuer.</w:t>
      </w:r>
    </w:p>
    <w:p w14:paraId="1DCEFA50" w14:textId="420E912F" w:rsidR="003A48F4" w:rsidRPr="00C208F5" w:rsidRDefault="00067630" w:rsidP="0084665E">
      <w:pPr>
        <w:rPr>
          <w:lang w:val="fr-ML"/>
        </w:rPr>
      </w:pPr>
      <w:r w:rsidRPr="4887D5E5">
        <w:rPr>
          <w:b/>
          <w:bCs/>
          <w:i/>
          <w:iCs/>
        </w:rPr>
        <w:t xml:space="preserve">Examen documentaire des systèmes, rapports, études et parties prenantes existants en matière de mortalité </w:t>
      </w:r>
      <w:r>
        <w:t xml:space="preserve">: une compilation des rapports publiés et de la littérature scientifique permettra d'identifier les systèmes de données existants, les résultats obtenus et les principales institutions liées à la surveillance de la mortalité. Ces documents peuvent être identifiés en effectuant des recherches sur les sites web des institutions nationales, dans les bases de données de publications (par exemple PubMed ou les bases de données locales) et en s'entretenant avec les personnes ressources compétentes dans le pays. L'examen documentaire doit être réalisé par la principale institution chargée de l'évaluation de la mortalité (par exemple, l'institut national de santé publique). Un outil succinct destiné à aider les utilisateurs à dresser un inventaire des systèmes existants figure en annexe. </w:t>
      </w:r>
    </w:p>
    <w:p w14:paraId="2062180B" w14:textId="2F92389E" w:rsidR="00D25E2C" w:rsidRPr="00C208F5" w:rsidRDefault="00067630" w:rsidP="0084665E">
      <w:pPr>
        <w:rPr>
          <w:lang w:val="fr-ML"/>
        </w:rPr>
      </w:pPr>
      <w:r>
        <w:t>L'étude documentaire visera également à identifier les comités techniques ou groupes de travail existants qui travaillent sur la surveillance de la mortalité ou qui utilisent les données de ces systèmes.  Ces comités peuvent être facilement identifiés en contactant les ministères concernés. Les résultats de l'étude documentaire permettront d'affiner les objectifs de l'évaluation, de concevoir les efforts à déployer pour collecter des données supplémentaires et de déterminer les sites à visiter.</w:t>
      </w:r>
    </w:p>
    <w:p w14:paraId="7933C715" w14:textId="241C3537" w:rsidR="0084665E" w:rsidRPr="00C208F5" w:rsidRDefault="1159566E" w:rsidP="0084665E">
      <w:pPr>
        <w:rPr>
          <w:lang w:val="fr-ML"/>
        </w:rPr>
      </w:pPr>
      <w:r w:rsidRPr="4887D5E5">
        <w:rPr>
          <w:b/>
          <w:bCs/>
          <w:i/>
          <w:iCs/>
        </w:rPr>
        <w:t xml:space="preserve">Collecte de données primaires </w:t>
      </w:r>
      <w:r>
        <w:t xml:space="preserve">: une approche mixte comprenant des entretiens structurés et semi-structurés avec des informateurs clés (institutions impliquées dans la collecte de données, par exemple les </w:t>
      </w:r>
      <w:r w:rsidRPr="004F65FC">
        <w:rPr>
          <w:highlight w:val="yellow"/>
        </w:rPr>
        <w:t>SIEG</w:t>
      </w:r>
      <w:r>
        <w:t xml:space="preserve">, les </w:t>
      </w:r>
      <w:r w:rsidRPr="004F65FC">
        <w:rPr>
          <w:highlight w:val="yellow"/>
        </w:rPr>
        <w:t>BSN</w:t>
      </w:r>
      <w:r>
        <w:t>, et les principales parties prenantes telles que les chefs traditionnels, les responsables locaux de la santé, les dirigeants communautaires, etc. Les questions de l'entretien porteront sur le bon fonctionnement des systèmes identifiés lors de l'étude documentaire, les données collectées par ces systèmes, leur fréquence, leur portée géographique, l'utilisation des technologies de l'information et des solutions numériques, ainsi que le stockage, l'accès, l'utilisation et la diffusion des données.</w:t>
      </w:r>
    </w:p>
    <w:p w14:paraId="2A2E2057" w14:textId="11046473" w:rsidR="00D51717" w:rsidRPr="00C208F5" w:rsidRDefault="64077A87" w:rsidP="00FF41BE">
      <w:pPr>
        <w:rPr>
          <w:smallCaps/>
          <w:sz w:val="24"/>
          <w:szCs w:val="24"/>
          <w:lang w:val="fr-ML"/>
        </w:rPr>
      </w:pPr>
      <w:r w:rsidRPr="4887D5E5">
        <w:rPr>
          <w:b/>
          <w:bCs/>
          <w:smallCaps/>
          <w:sz w:val="24"/>
          <w:szCs w:val="24"/>
        </w:rPr>
        <w:t xml:space="preserve">Contexte </w:t>
      </w:r>
      <w:r w:rsidR="00FF2215" w:rsidRPr="4887D5E5">
        <w:rPr>
          <w:smallCaps/>
          <w:sz w:val="24"/>
          <w:szCs w:val="24"/>
        </w:rPr>
        <w:t>:</w:t>
      </w:r>
    </w:p>
    <w:p w14:paraId="48AB9736" w14:textId="5B567C5F" w:rsidR="64077A87" w:rsidRPr="00C208F5" w:rsidRDefault="15A10536" w:rsidP="00955158">
      <w:pPr>
        <w:spacing w:after="0"/>
        <w:rPr>
          <w:rFonts w:ascii="Aptos" w:eastAsia="Aptos" w:hAnsi="Aptos" w:cs="Aptos"/>
          <w:lang w:val="fr-ML"/>
        </w:rPr>
      </w:pPr>
      <w:r w:rsidRPr="4887D5E5">
        <w:rPr>
          <w:rFonts w:ascii="Aptos" w:eastAsia="Aptos" w:hAnsi="Aptos" w:cs="Aptos"/>
        </w:rPr>
        <w:t>Afin de mettre en place un système d'enregistrement par échantillon (</w:t>
      </w:r>
      <w:r w:rsidRPr="004F65FC">
        <w:rPr>
          <w:rFonts w:ascii="Aptos" w:eastAsia="Aptos" w:hAnsi="Aptos" w:cs="Aptos"/>
          <w:highlight w:val="yellow"/>
        </w:rPr>
        <w:t>SRS</w:t>
      </w:r>
      <w:r w:rsidRPr="4887D5E5">
        <w:rPr>
          <w:rFonts w:ascii="Aptos" w:eastAsia="Aptos" w:hAnsi="Aptos" w:cs="Aptos"/>
        </w:rPr>
        <w:t xml:space="preserve">) représentatif à l'échelle nationale pour surveiller les taux de mortalité et les causes de décès, l'évaluation devrait viser à évaluer de manière exhaustive les systèmes de données nationaux et infranationaux existants, y compris l'enregistrement des faits d'état civil, les systèmes d'information sanitaire et les sites de surveillance démographique. Le cas échéant, sélectionner de manière ciblée des districts disposant d'une collecte active de données sur la mortalité ou d'une infrastructure de surveillance solide afin d'identifier les meilleures pratiques et les lacunes. Donner la priorité aux zones infranationales qui reflètent la diversité des profils géographiques, urbains et ruraux, ainsi que des profils de mortalité, afin de dresser un tableau complet des données sur la mortalité dans le pays. Par exemple, les sites de surveillance sanitaire et démographique peuvent fournir des données détaillées sur les causes de décès, tandis que les morgues peuvent révéler des décès non déclarés </w:t>
      </w:r>
      <w:r w:rsidRPr="4887D5E5">
        <w:rPr>
          <w:rFonts w:ascii="Aptos" w:eastAsia="Aptos" w:hAnsi="Aptos" w:cs="Aptos"/>
        </w:rPr>
        <w:lastRenderedPageBreak/>
        <w:t>ou des problèmes de codage. Cette approche permet de bien comprendre les possibilités et les obstacles à une surveillance efficace de la mortalité.</w:t>
      </w:r>
    </w:p>
    <w:p w14:paraId="6169F9B9" w14:textId="77777777" w:rsidR="00955158" w:rsidRPr="00C208F5" w:rsidRDefault="00955158" w:rsidP="00955158">
      <w:pPr>
        <w:spacing w:after="0"/>
        <w:rPr>
          <w:b/>
          <w:bCs/>
          <w:smallCaps/>
          <w:lang w:val="fr-ML"/>
        </w:rPr>
      </w:pPr>
    </w:p>
    <w:p w14:paraId="268A1F55" w14:textId="59B9520C" w:rsidR="003C567E" w:rsidRPr="00C208F5" w:rsidRDefault="5E263793" w:rsidP="00955158">
      <w:pPr>
        <w:spacing w:after="0"/>
        <w:rPr>
          <w:smallCaps/>
          <w:sz w:val="24"/>
          <w:szCs w:val="24"/>
          <w:lang w:val="fr-ML"/>
        </w:rPr>
      </w:pPr>
      <w:r w:rsidRPr="4887D5E5">
        <w:rPr>
          <w:b/>
          <w:bCs/>
          <w:smallCaps/>
          <w:sz w:val="24"/>
          <w:szCs w:val="24"/>
        </w:rPr>
        <w:t xml:space="preserve">Sites </w:t>
      </w:r>
      <w:r w:rsidR="00FF2215" w:rsidRPr="4887D5E5">
        <w:rPr>
          <w:smallCaps/>
          <w:sz w:val="24"/>
          <w:szCs w:val="24"/>
        </w:rPr>
        <w:t>:</w:t>
      </w:r>
    </w:p>
    <w:p w14:paraId="705E825A" w14:textId="1FFCA673" w:rsidR="00AD4DFB" w:rsidRPr="00C208F5" w:rsidRDefault="5E263793" w:rsidP="00955158">
      <w:pPr>
        <w:spacing w:before="240" w:after="0"/>
        <w:rPr>
          <w:rFonts w:ascii="Aptos" w:eastAsia="Aptos" w:hAnsi="Aptos" w:cs="Aptos"/>
          <w:lang w:val="fr-ML"/>
        </w:rPr>
      </w:pPr>
      <w:r w:rsidRPr="4887D5E5">
        <w:rPr>
          <w:rFonts w:ascii="Aptos" w:eastAsia="Aptos" w:hAnsi="Aptos" w:cs="Aptos"/>
        </w:rPr>
        <w:t xml:space="preserve">Les données sur la mortalité peuvent être collectées à partir de </w:t>
      </w:r>
      <w:r w:rsidR="271CB8F3" w:rsidRPr="4887D5E5">
        <w:rPr>
          <w:rFonts w:ascii="Aptos" w:eastAsia="Aptos" w:hAnsi="Aptos" w:cs="Aptos"/>
        </w:rPr>
        <w:t xml:space="preserve">plusieurs </w:t>
      </w:r>
      <w:r w:rsidRPr="4887D5E5">
        <w:rPr>
          <w:rFonts w:ascii="Aptos" w:eastAsia="Aptos" w:hAnsi="Aptos" w:cs="Aptos"/>
        </w:rPr>
        <w:t>sites, classés comme suit :</w:t>
      </w:r>
    </w:p>
    <w:p w14:paraId="2FCFC2C2" w14:textId="721EF2EF" w:rsidR="00AD4DFB" w:rsidRPr="00C208F5" w:rsidRDefault="5E263793" w:rsidP="00955158">
      <w:pPr>
        <w:pStyle w:val="ListParagraph"/>
        <w:numPr>
          <w:ilvl w:val="0"/>
          <w:numId w:val="2"/>
        </w:numPr>
        <w:spacing w:after="0"/>
        <w:rPr>
          <w:rFonts w:ascii="Aptos" w:eastAsia="Aptos" w:hAnsi="Aptos" w:cs="Aptos"/>
          <w:lang w:val="fr-ML"/>
        </w:rPr>
      </w:pPr>
      <w:r w:rsidRPr="4887D5E5">
        <w:rPr>
          <w:rFonts w:ascii="Aptos" w:eastAsia="Aptos" w:hAnsi="Aptos" w:cs="Aptos"/>
          <w:b/>
          <w:bCs/>
        </w:rPr>
        <w:t xml:space="preserve">Établissements de santé </w:t>
      </w:r>
      <w:r w:rsidRPr="4887D5E5">
        <w:rPr>
          <w:rFonts w:ascii="Aptos" w:eastAsia="Aptos" w:hAnsi="Aptos" w:cs="Aptos"/>
        </w:rPr>
        <w:t>: les données du District Health Information System-2 (DHIS-2), des systèmes de dossiers médicaux électroniques et des systèmes d'information hospitaliers permettent de recenser les décès survenus dans les établissements de santé et leurs causes.</w:t>
      </w:r>
    </w:p>
    <w:p w14:paraId="72AA2990" w14:textId="664072CD" w:rsidR="00AD4DFB" w:rsidRPr="00C208F5" w:rsidRDefault="5E263793" w:rsidP="00955158">
      <w:pPr>
        <w:pStyle w:val="ListParagraph"/>
        <w:numPr>
          <w:ilvl w:val="0"/>
          <w:numId w:val="2"/>
        </w:numPr>
        <w:spacing w:after="0"/>
        <w:rPr>
          <w:rFonts w:ascii="Aptos" w:eastAsia="Aptos" w:hAnsi="Aptos" w:cs="Aptos"/>
          <w:lang w:val="fr-ML"/>
        </w:rPr>
      </w:pPr>
      <w:r w:rsidRPr="4887D5E5">
        <w:rPr>
          <w:rFonts w:ascii="Aptos" w:eastAsia="Aptos" w:hAnsi="Aptos" w:cs="Aptos"/>
          <w:b/>
          <w:bCs/>
        </w:rPr>
        <w:t xml:space="preserve">Sources communautaires </w:t>
      </w:r>
      <w:r w:rsidRPr="4887D5E5">
        <w:rPr>
          <w:rFonts w:ascii="Aptos" w:eastAsia="Aptos" w:hAnsi="Aptos" w:cs="Aptos"/>
        </w:rPr>
        <w:t>: Les registres communautaires, les lieux d'inhumation et les systèmes de surveillance sanitaire et démographique fournissent des informations sur les décès survenus en dehors des établissements, en particulier dans les zones rurales.</w:t>
      </w:r>
    </w:p>
    <w:p w14:paraId="0FA2D94E" w14:textId="583C3595" w:rsidR="00AD4DFB" w:rsidRPr="00C208F5" w:rsidRDefault="5E263793" w:rsidP="00955158">
      <w:pPr>
        <w:pStyle w:val="ListParagraph"/>
        <w:numPr>
          <w:ilvl w:val="0"/>
          <w:numId w:val="2"/>
        </w:numPr>
        <w:spacing w:after="0"/>
        <w:rPr>
          <w:rFonts w:ascii="Aptos" w:eastAsia="Aptos" w:hAnsi="Aptos" w:cs="Aptos"/>
          <w:lang w:val="fr-ML"/>
        </w:rPr>
      </w:pPr>
      <w:r w:rsidRPr="4887D5E5">
        <w:rPr>
          <w:rFonts w:ascii="Aptos" w:eastAsia="Aptos" w:hAnsi="Aptos" w:cs="Aptos"/>
          <w:b/>
          <w:bCs/>
        </w:rPr>
        <w:t xml:space="preserve">Systèmes administratifs </w:t>
      </w:r>
      <w:r w:rsidRPr="4887D5E5">
        <w:rPr>
          <w:rFonts w:ascii="Aptos" w:eastAsia="Aptos" w:hAnsi="Aptos" w:cs="Aptos"/>
        </w:rPr>
        <w:t>: Les systèmes d'enregistrement civil et de statistiques de l'état civil (</w:t>
      </w:r>
      <w:r w:rsidRPr="004F65FC">
        <w:rPr>
          <w:rFonts w:ascii="Aptos" w:eastAsia="Aptos" w:hAnsi="Aptos" w:cs="Aptos"/>
          <w:highlight w:val="yellow"/>
        </w:rPr>
        <w:t>CRVS</w:t>
      </w:r>
      <w:r w:rsidRPr="4887D5E5">
        <w:rPr>
          <w:rFonts w:ascii="Aptos" w:eastAsia="Aptos" w:hAnsi="Aptos" w:cs="Aptos"/>
        </w:rPr>
        <w:t>), les morgues et les bureaux nationaux de statistique enregistrent les données officielles sur la mortalité et les causes de décès.</w:t>
      </w:r>
    </w:p>
    <w:p w14:paraId="2AAF9D60" w14:textId="68E990F7" w:rsidR="00AD4DFB" w:rsidRPr="00C208F5" w:rsidRDefault="5E263793" w:rsidP="00955158">
      <w:pPr>
        <w:spacing w:before="240" w:after="240"/>
        <w:rPr>
          <w:rFonts w:ascii="Aptos" w:eastAsia="Aptos" w:hAnsi="Aptos" w:cs="Aptos"/>
          <w:lang w:val="fr-ML"/>
        </w:rPr>
      </w:pPr>
      <w:r w:rsidRPr="4887D5E5">
        <w:rPr>
          <w:rFonts w:ascii="Aptos" w:eastAsia="Aptos" w:hAnsi="Aptos" w:cs="Aptos"/>
        </w:rPr>
        <w:t>Avant de lancer l'évaluation, recensez les principales parties prenantes pour chaque site, telles que les administrateurs hospitaliers, les agents locaux de l'état civil, le personnel des morgues, les agents de santé communautaires et les agents nationaux des statistiques. Identifiez les personnes à interroger en fonction de leur rôle dans la collecte, la gestion ou la supervision des données afin de comprendre la qualité et l'exhaustivité des données ainsi que les défis opérationnels. Utilisez une approche structurée, telle que des matrices d'analyse des parties prenantes, pour hiérarchiser les priorités en matière d'engagement.</w:t>
      </w:r>
    </w:p>
    <w:p w14:paraId="2B0E97CD" w14:textId="2E589E21" w:rsidR="00AD4DFB" w:rsidRPr="00C208F5" w:rsidRDefault="5E263793" w:rsidP="00955158">
      <w:pPr>
        <w:spacing w:before="240" w:after="240"/>
        <w:rPr>
          <w:rFonts w:ascii="Aptos" w:eastAsia="Aptos" w:hAnsi="Aptos" w:cs="Aptos"/>
          <w:lang w:val="fr-ML"/>
        </w:rPr>
      </w:pPr>
      <w:r w:rsidRPr="4887D5E5">
        <w:rPr>
          <w:rFonts w:ascii="Aptos" w:eastAsia="Aptos" w:hAnsi="Aptos" w:cs="Aptos"/>
        </w:rPr>
        <w:t xml:space="preserve">Afin de soutenir </w:t>
      </w:r>
      <w:r w:rsidR="00955158" w:rsidRPr="4887D5E5">
        <w:rPr>
          <w:rFonts w:ascii="Aptos" w:eastAsia="Aptos" w:hAnsi="Aptos" w:cs="Aptos"/>
        </w:rPr>
        <w:t xml:space="preserve">le développement </w:t>
      </w:r>
      <w:r w:rsidRPr="4887D5E5">
        <w:rPr>
          <w:rFonts w:ascii="Aptos" w:eastAsia="Aptos" w:hAnsi="Aptos" w:cs="Aptos"/>
        </w:rPr>
        <w:t>d'un futur système représentatif à l'échelle nationale, évaluez les différences entre les contextes :</w:t>
      </w:r>
    </w:p>
    <w:p w14:paraId="5AF9EA3D" w14:textId="22883C91" w:rsidR="00AD4DFB" w:rsidRPr="00C208F5" w:rsidRDefault="5E263793" w:rsidP="00955158">
      <w:pPr>
        <w:pStyle w:val="ListParagraph"/>
        <w:numPr>
          <w:ilvl w:val="0"/>
          <w:numId w:val="1"/>
        </w:numPr>
        <w:spacing w:after="0"/>
        <w:rPr>
          <w:rFonts w:ascii="Aptos" w:eastAsia="Aptos" w:hAnsi="Aptos" w:cs="Aptos"/>
          <w:lang w:val="fr-ML"/>
        </w:rPr>
      </w:pPr>
      <w:r w:rsidRPr="4887D5E5">
        <w:rPr>
          <w:rFonts w:ascii="Aptos" w:eastAsia="Aptos" w:hAnsi="Aptos" w:cs="Aptos"/>
          <w:b/>
          <w:bCs/>
        </w:rPr>
        <w:t xml:space="preserve">Milieu rural vs milieu urbain </w:t>
      </w:r>
      <w:r w:rsidRPr="4887D5E5">
        <w:rPr>
          <w:rFonts w:ascii="Aptos" w:eastAsia="Aptos" w:hAnsi="Aptos" w:cs="Aptos"/>
        </w:rPr>
        <w:t xml:space="preserve">: les zones rurales peuvent s'appuyer sur des déclarations communautaires avec une couverture </w:t>
      </w:r>
      <w:r w:rsidRPr="004F65FC">
        <w:rPr>
          <w:rFonts w:ascii="Aptos" w:eastAsia="Aptos" w:hAnsi="Aptos" w:cs="Aptos"/>
          <w:highlight w:val="yellow"/>
        </w:rPr>
        <w:t>CRVS</w:t>
      </w:r>
      <w:r w:rsidRPr="4887D5E5">
        <w:rPr>
          <w:rFonts w:ascii="Aptos" w:eastAsia="Aptos" w:hAnsi="Aptos" w:cs="Aptos"/>
        </w:rPr>
        <w:t xml:space="preserve"> limitée, tandis que les hôpitaux urbains peuvent surreprésenter les décès survenus dans les établissements.</w:t>
      </w:r>
    </w:p>
    <w:p w14:paraId="51BD0D7A" w14:textId="62C4364E" w:rsidR="00AD4DFB" w:rsidRPr="00C208F5" w:rsidRDefault="5E263793" w:rsidP="00955158">
      <w:pPr>
        <w:pStyle w:val="ListParagraph"/>
        <w:numPr>
          <w:ilvl w:val="0"/>
          <w:numId w:val="1"/>
        </w:numPr>
        <w:spacing w:after="0"/>
        <w:rPr>
          <w:rFonts w:ascii="Aptos" w:eastAsia="Aptos" w:hAnsi="Aptos" w:cs="Aptos"/>
          <w:lang w:val="fr-ML"/>
        </w:rPr>
      </w:pPr>
      <w:r w:rsidRPr="4887D5E5">
        <w:rPr>
          <w:rFonts w:ascii="Aptos" w:eastAsia="Aptos" w:hAnsi="Aptos" w:cs="Aptos"/>
          <w:b/>
          <w:bCs/>
        </w:rPr>
        <w:t xml:space="preserve">Établissements vs communauté </w:t>
      </w:r>
      <w:r w:rsidRPr="4887D5E5">
        <w:rPr>
          <w:rFonts w:ascii="Aptos" w:eastAsia="Aptos" w:hAnsi="Aptos" w:cs="Aptos"/>
        </w:rPr>
        <w:t>: les données des établissements peuvent ne pas tenir compte des décès survenus dans la communauté, en particulier dans les zones où l'accès aux soins de santé est limité.</w:t>
      </w:r>
    </w:p>
    <w:p w14:paraId="0AEE8843" w14:textId="6F70F148" w:rsidR="00AD4DFB" w:rsidRPr="00C208F5" w:rsidRDefault="5E263793" w:rsidP="00955158">
      <w:pPr>
        <w:pStyle w:val="ListParagraph"/>
        <w:numPr>
          <w:ilvl w:val="0"/>
          <w:numId w:val="1"/>
        </w:numPr>
        <w:spacing w:after="0"/>
        <w:rPr>
          <w:rFonts w:ascii="Aptos" w:eastAsia="Aptos" w:hAnsi="Aptos" w:cs="Aptos"/>
          <w:lang w:val="fr-ML"/>
        </w:rPr>
      </w:pPr>
      <w:r w:rsidRPr="4887D5E5">
        <w:rPr>
          <w:rFonts w:ascii="Aptos" w:eastAsia="Aptos" w:hAnsi="Aptos" w:cs="Aptos"/>
          <w:b/>
          <w:bCs/>
        </w:rPr>
        <w:t xml:space="preserve">Facteurs socio-économiques et culturels </w:t>
      </w:r>
      <w:r w:rsidRPr="4887D5E5">
        <w:rPr>
          <w:rFonts w:ascii="Aptos" w:eastAsia="Aptos" w:hAnsi="Aptos" w:cs="Aptos"/>
        </w:rPr>
        <w:t>: incluez des sites reflétant les disparités de revenus, la diversité ethnique ou les régions touchées par des conflits afin de saisir les variations dans les schémas de mortalité.</w:t>
      </w:r>
    </w:p>
    <w:p w14:paraId="0C3E36AE" w14:textId="783F9B90" w:rsidR="00AD4DFB" w:rsidRPr="00C208F5" w:rsidRDefault="5E263793" w:rsidP="00955158">
      <w:pPr>
        <w:pStyle w:val="ListParagraph"/>
        <w:numPr>
          <w:ilvl w:val="0"/>
          <w:numId w:val="1"/>
        </w:numPr>
        <w:spacing w:after="0"/>
        <w:rPr>
          <w:rFonts w:ascii="Aptos" w:eastAsia="Aptos" w:hAnsi="Aptos" w:cs="Aptos"/>
          <w:lang w:val="fr-ML"/>
        </w:rPr>
      </w:pPr>
      <w:r w:rsidRPr="4887D5E5">
        <w:rPr>
          <w:rFonts w:ascii="Aptos" w:eastAsia="Aptos" w:hAnsi="Aptos" w:cs="Aptos"/>
          <w:b/>
          <w:bCs/>
        </w:rPr>
        <w:t xml:space="preserve">Lacunes dans la couverture du système </w:t>
      </w:r>
      <w:r w:rsidRPr="4887D5E5">
        <w:rPr>
          <w:rFonts w:ascii="Aptos" w:eastAsia="Aptos" w:hAnsi="Aptos" w:cs="Aptos"/>
        </w:rPr>
        <w:t xml:space="preserve">: donner la priorité aux zones où le </w:t>
      </w:r>
      <w:r w:rsidRPr="004F65FC">
        <w:rPr>
          <w:rFonts w:ascii="Aptos" w:eastAsia="Aptos" w:hAnsi="Aptos" w:cs="Aptos"/>
          <w:highlight w:val="yellow"/>
        </w:rPr>
        <w:t>CRVS</w:t>
      </w:r>
      <w:r w:rsidRPr="4887D5E5">
        <w:rPr>
          <w:rFonts w:ascii="Aptos" w:eastAsia="Aptos" w:hAnsi="Aptos" w:cs="Aptos"/>
        </w:rPr>
        <w:t xml:space="preserve"> ou d'autres systèmes nationaux ne sont pas pleinement mis en œuvre afin d'identifier les obstacles à la collecte de données.</w:t>
      </w:r>
    </w:p>
    <w:p w14:paraId="28D2A43C" w14:textId="18B72F6F" w:rsidR="00AD4DFB" w:rsidRPr="00C208F5" w:rsidRDefault="5E263793" w:rsidP="00955158">
      <w:pPr>
        <w:spacing w:before="240" w:after="240"/>
        <w:rPr>
          <w:rFonts w:ascii="Aptos" w:eastAsia="Aptos" w:hAnsi="Aptos" w:cs="Aptos"/>
          <w:lang w:val="fr-ML"/>
        </w:rPr>
      </w:pPr>
      <w:r w:rsidRPr="4887D5E5">
        <w:rPr>
          <w:rFonts w:ascii="Aptos" w:eastAsia="Aptos" w:hAnsi="Aptos" w:cs="Aptos"/>
        </w:rPr>
        <w:t>Cette approche garantit que l'évaluation reflète la diversité des sources de données sur la mortalité et éclaire la conception d'un système de surveillance complet.</w:t>
      </w:r>
    </w:p>
    <w:p w14:paraId="6003B943" w14:textId="5F638FE0" w:rsidR="003C567E" w:rsidRPr="00C208F5" w:rsidRDefault="4A9D9DA6" w:rsidP="0084665E">
      <w:pPr>
        <w:rPr>
          <w:smallCaps/>
          <w:sz w:val="24"/>
          <w:szCs w:val="24"/>
          <w:lang w:val="fr-ML"/>
        </w:rPr>
      </w:pPr>
      <w:r w:rsidRPr="4887D5E5">
        <w:rPr>
          <w:b/>
          <w:bCs/>
          <w:smallCaps/>
          <w:sz w:val="24"/>
          <w:szCs w:val="24"/>
        </w:rPr>
        <w:lastRenderedPageBreak/>
        <w:t xml:space="preserve">Répondants </w:t>
      </w:r>
      <w:r w:rsidR="00FF2215" w:rsidRPr="4887D5E5">
        <w:rPr>
          <w:b/>
          <w:bCs/>
          <w:smallCaps/>
          <w:sz w:val="24"/>
          <w:szCs w:val="24"/>
        </w:rPr>
        <w:t>:</w:t>
      </w:r>
    </w:p>
    <w:p w14:paraId="4632CA32" w14:textId="1E6B47E1" w:rsidR="0053546D" w:rsidRPr="00C208F5" w:rsidRDefault="00001FB7" w:rsidP="0084665E">
      <w:pPr>
        <w:rPr>
          <w:lang w:val="fr-ML"/>
        </w:rPr>
      </w:pPr>
      <w:r>
        <w:t xml:space="preserve">Informateurs clés aux niveaux national, régional/provincial et de district. </w:t>
      </w:r>
    </w:p>
    <w:p w14:paraId="34888576" w14:textId="6F1AF4B2" w:rsidR="00D51717" w:rsidRPr="00C208F5" w:rsidRDefault="4A9D9DA6" w:rsidP="4A9D9DA6">
      <w:pPr>
        <w:spacing w:after="0"/>
        <w:rPr>
          <w:rFonts w:ascii="Aptos" w:eastAsia="Aptos" w:hAnsi="Aptos" w:cs="Aptos"/>
          <w:lang w:val="fr-ML"/>
        </w:rPr>
      </w:pPr>
      <w:r w:rsidRPr="4887D5E5">
        <w:rPr>
          <w:rFonts w:ascii="Aptos" w:eastAsia="Aptos" w:hAnsi="Aptos" w:cs="Aptos"/>
        </w:rPr>
        <w:t xml:space="preserve">Pour évaluer les systèmes de données sur la mortalité, sélectionnez de manière ciblée des répondants en fonction de leur rôle dans la collecte, la gestion ou la supervision des données sur la mortalité, la planification et le suivi aux niveaux national et infranational. Ces personnes doivent fournir des informations sur la qualité des données, le fonctionnement du système et les obstacles à une surveillance efficace. Par exemple, ciblez des répondants au niveau national tels que des responsables du ministère de la Santé, des gestionnaires du CRVS ou des agents nationaux des statistiques, et des répondants au niveau infranational tels que des responsables de la santé au niveau du district, des agents chargés des données hospitalières ou des agents d'état civil locaux. Donnez la priorité à ceux qui ont un pouvoir décisionnel, un accès direct aux données ou une expérience dans le traitement des lacunes dans la déclaration des causes de décès. Utilisez la cartographie des parties prenantes établie lors de l'évaluation du site pour identifier et contacter les répondants, en veillant à la représentation de divers contextes géographiques et administratifs. Le tableau ci-dessous suggère des catégories de répondants (par exemple, le personnel des établissements de santé, le personnel du CRVS, les décideurs politiques) afin de guider une sélection standardisée entre les sites. </w:t>
      </w:r>
      <w:r>
        <w:t xml:space="preserve">Un exemple de liste des informateurs clés interrogés lors de l'évaluation des données sur la mortalité en Zambie est inclus en annexe. </w:t>
      </w:r>
    </w:p>
    <w:tbl>
      <w:tblPr>
        <w:tblStyle w:val="TableGrid"/>
        <w:tblW w:w="0" w:type="auto"/>
        <w:tblLook w:val="04A0" w:firstRow="1" w:lastRow="0" w:firstColumn="1" w:lastColumn="0" w:noHBand="0" w:noVBand="1"/>
      </w:tblPr>
      <w:tblGrid>
        <w:gridCol w:w="4675"/>
        <w:gridCol w:w="4675"/>
      </w:tblGrid>
      <w:tr w:rsidR="0053546D" w14:paraId="1CB5D459" w14:textId="77777777" w:rsidTr="4887D5E5">
        <w:tc>
          <w:tcPr>
            <w:tcW w:w="4675" w:type="dxa"/>
          </w:tcPr>
          <w:p w14:paraId="6D29A909" w14:textId="3A8A4160" w:rsidR="0053546D" w:rsidRPr="007857B9" w:rsidRDefault="007857B9" w:rsidP="0084665E">
            <w:pPr>
              <w:rPr>
                <w:b/>
                <w:bCs/>
              </w:rPr>
            </w:pPr>
            <w:r w:rsidRPr="4887D5E5">
              <w:rPr>
                <w:b/>
                <w:bCs/>
              </w:rPr>
              <w:t>Sites/Système/</w:t>
            </w:r>
            <w:r w:rsidR="56AD04D6" w:rsidRPr="4887D5E5">
              <w:rPr>
                <w:b/>
                <w:bCs/>
              </w:rPr>
              <w:t>E</w:t>
            </w:r>
            <w:r w:rsidRPr="4887D5E5">
              <w:rPr>
                <w:b/>
                <w:bCs/>
              </w:rPr>
              <w:t>ntité</w:t>
            </w:r>
          </w:p>
        </w:tc>
        <w:tc>
          <w:tcPr>
            <w:tcW w:w="4675" w:type="dxa"/>
          </w:tcPr>
          <w:p w14:paraId="7246AF09" w14:textId="3E1ECC4F" w:rsidR="0053546D" w:rsidRPr="007857B9" w:rsidRDefault="54247572" w:rsidP="0084665E">
            <w:pPr>
              <w:rPr>
                <w:b/>
                <w:bCs/>
              </w:rPr>
            </w:pPr>
            <w:r w:rsidRPr="4887D5E5">
              <w:rPr>
                <w:b/>
                <w:bCs/>
              </w:rPr>
              <w:t>Répondants</w:t>
            </w:r>
          </w:p>
        </w:tc>
      </w:tr>
      <w:tr w:rsidR="0053546D" w:rsidRPr="00C208F5" w14:paraId="5C1DF3A4" w14:textId="77777777" w:rsidTr="4887D5E5">
        <w:trPr>
          <w:trHeight w:val="728"/>
        </w:trPr>
        <w:tc>
          <w:tcPr>
            <w:tcW w:w="4675" w:type="dxa"/>
          </w:tcPr>
          <w:p w14:paraId="48714A7C" w14:textId="6E351267" w:rsidR="0053546D" w:rsidRDefault="54247572" w:rsidP="0084665E">
            <w:r>
              <w:t>Décideurs au niveau national</w:t>
            </w:r>
          </w:p>
        </w:tc>
        <w:tc>
          <w:tcPr>
            <w:tcW w:w="4675" w:type="dxa"/>
          </w:tcPr>
          <w:p w14:paraId="3D435B9A" w14:textId="3C89AFF1" w:rsidR="0053546D" w:rsidRPr="00C208F5" w:rsidRDefault="54247572" w:rsidP="0084665E">
            <w:pPr>
              <w:rPr>
                <w:lang w:val="fr-ML"/>
              </w:rPr>
            </w:pPr>
            <w:r>
              <w:t>Directeurs sélectionnés des services</w:t>
            </w:r>
            <w:r w:rsidR="7551A097">
              <w:t xml:space="preserve"> de santé </w:t>
            </w:r>
            <w:r>
              <w:t>du ministère de la Santé</w:t>
            </w:r>
            <w:r w:rsidR="7551A097">
              <w:t xml:space="preserve">/des services de santé gouvernementaux </w:t>
            </w:r>
            <w:r>
              <w:t xml:space="preserve">et autres ministères concernés </w:t>
            </w:r>
          </w:p>
        </w:tc>
      </w:tr>
      <w:tr w:rsidR="0053546D" w:rsidRPr="00C208F5" w14:paraId="627DEA90" w14:textId="77777777" w:rsidTr="4887D5E5">
        <w:trPr>
          <w:trHeight w:val="998"/>
        </w:trPr>
        <w:tc>
          <w:tcPr>
            <w:tcW w:w="4675" w:type="dxa"/>
          </w:tcPr>
          <w:p w14:paraId="06A0195A" w14:textId="59296702" w:rsidR="0053546D" w:rsidRDefault="0053546D" w:rsidP="0084665E">
            <w:r>
              <w:t>CRVS</w:t>
            </w:r>
          </w:p>
        </w:tc>
        <w:tc>
          <w:tcPr>
            <w:tcW w:w="4675" w:type="dxa"/>
          </w:tcPr>
          <w:p w14:paraId="4390941E" w14:textId="4B33F2CD" w:rsidR="0053546D" w:rsidRPr="00C208F5" w:rsidRDefault="76FB94A0" w:rsidP="0084665E">
            <w:pPr>
              <w:rPr>
                <w:lang w:val="fr-ML"/>
              </w:rPr>
            </w:pPr>
            <w:r>
              <w:t>Responsables</w:t>
            </w:r>
            <w:r w:rsidR="54247572">
              <w:t xml:space="preserve"> du CRVS </w:t>
            </w:r>
            <w:r>
              <w:t xml:space="preserve">aux niveaux national, provincial et régional </w:t>
            </w:r>
            <w:r w:rsidR="007857B9">
              <w:t xml:space="preserve">(selon le cas) </w:t>
            </w:r>
            <w:r w:rsidR="54247572">
              <w:t xml:space="preserve">; </w:t>
            </w:r>
          </w:p>
          <w:p w14:paraId="46F93BF4" w14:textId="46BE833F" w:rsidR="0053546D" w:rsidRPr="00C208F5" w:rsidRDefault="76FB94A0" w:rsidP="0084665E">
            <w:pPr>
              <w:rPr>
                <w:lang w:val="fr-ML"/>
              </w:rPr>
            </w:pPr>
            <w:r>
              <w:t xml:space="preserve">Directeurs et responsables </w:t>
            </w:r>
            <w:r w:rsidR="54247572">
              <w:t xml:space="preserve">des statistiques de l'état civil de l'Office national de la statistique </w:t>
            </w:r>
          </w:p>
        </w:tc>
      </w:tr>
      <w:tr w:rsidR="0053546D" w:rsidRPr="00C208F5" w14:paraId="08E3013D" w14:textId="77777777" w:rsidTr="4887D5E5">
        <w:tc>
          <w:tcPr>
            <w:tcW w:w="4675" w:type="dxa"/>
          </w:tcPr>
          <w:p w14:paraId="139C77DF" w14:textId="7534833B" w:rsidR="0053546D" w:rsidRPr="004F65FC" w:rsidRDefault="76FB94A0" w:rsidP="4887D5E5">
            <w:pPr>
              <w:rPr>
                <w:highlight w:val="yellow"/>
              </w:rPr>
            </w:pPr>
            <w:r w:rsidRPr="004F65FC">
              <w:rPr>
                <w:highlight w:val="yellow"/>
              </w:rPr>
              <w:t>SMIH</w:t>
            </w:r>
          </w:p>
        </w:tc>
        <w:tc>
          <w:tcPr>
            <w:tcW w:w="4675" w:type="dxa"/>
          </w:tcPr>
          <w:p w14:paraId="40CE1B8C" w14:textId="64FAD12C" w:rsidR="0053546D" w:rsidRPr="00C208F5" w:rsidRDefault="007857B9" w:rsidP="0084665E">
            <w:pPr>
              <w:rPr>
                <w:lang w:val="fr-ML"/>
              </w:rPr>
            </w:pPr>
            <w:r>
              <w:t xml:space="preserve">Directeur du </w:t>
            </w:r>
            <w:r w:rsidRPr="004F65FC">
              <w:rPr>
                <w:highlight w:val="yellow"/>
              </w:rPr>
              <w:t>HIS</w:t>
            </w:r>
            <w:r>
              <w:t xml:space="preserve"> et du </w:t>
            </w:r>
            <w:r w:rsidR="3EAE7F80">
              <w:t>suivi et évaluation</w:t>
            </w:r>
            <w:r>
              <w:t xml:space="preserve"> du ministère de la Santé</w:t>
            </w:r>
          </w:p>
          <w:p w14:paraId="46DA4D48" w14:textId="49384E33" w:rsidR="007857B9" w:rsidRPr="00C208F5" w:rsidRDefault="007857B9" w:rsidP="0084665E">
            <w:pPr>
              <w:rPr>
                <w:lang w:val="fr-ML"/>
              </w:rPr>
            </w:pPr>
            <w:r>
              <w:t xml:space="preserve">Responsable national/régional du </w:t>
            </w:r>
            <w:r w:rsidRPr="004F65FC">
              <w:rPr>
                <w:highlight w:val="yellow"/>
              </w:rPr>
              <w:t>HMIS</w:t>
            </w:r>
          </w:p>
          <w:p w14:paraId="74AF6C84" w14:textId="5F6EC00F" w:rsidR="007857B9" w:rsidRPr="00C208F5" w:rsidRDefault="007857B9" w:rsidP="0084665E">
            <w:pPr>
              <w:rPr>
                <w:lang w:val="fr-ML"/>
              </w:rPr>
            </w:pPr>
            <w:r>
              <w:t>Agents chargés des données dans les établissements de santé</w:t>
            </w:r>
          </w:p>
        </w:tc>
      </w:tr>
      <w:tr w:rsidR="0053546D" w:rsidRPr="00C208F5" w14:paraId="2A33587A" w14:textId="77777777" w:rsidTr="4887D5E5">
        <w:tc>
          <w:tcPr>
            <w:tcW w:w="4675" w:type="dxa"/>
          </w:tcPr>
          <w:p w14:paraId="07B32940" w14:textId="5F8CCF6B" w:rsidR="0053546D" w:rsidRDefault="76FB94A0" w:rsidP="0084665E">
            <w:r>
              <w:t>Enquêtes</w:t>
            </w:r>
          </w:p>
        </w:tc>
        <w:tc>
          <w:tcPr>
            <w:tcW w:w="4675" w:type="dxa"/>
          </w:tcPr>
          <w:p w14:paraId="7F42368A" w14:textId="3F9815F3" w:rsidR="0053546D" w:rsidRPr="00C208F5" w:rsidRDefault="76FB94A0" w:rsidP="0084665E">
            <w:pPr>
              <w:rPr>
                <w:lang w:val="fr-ML"/>
              </w:rPr>
            </w:pPr>
            <w:r>
              <w:t>Directeurs et responsables des enquêtes au sein de l'ONS et de l'Institut national de santé publique</w:t>
            </w:r>
          </w:p>
        </w:tc>
      </w:tr>
      <w:tr w:rsidR="0053546D" w14:paraId="34441405" w14:textId="77777777" w:rsidTr="4887D5E5">
        <w:tc>
          <w:tcPr>
            <w:tcW w:w="4675" w:type="dxa"/>
          </w:tcPr>
          <w:p w14:paraId="0ED5FC0B" w14:textId="4E7EB12D" w:rsidR="0053546D" w:rsidRPr="00C208F5" w:rsidRDefault="2DD96D01" w:rsidP="0084665E">
            <w:pPr>
              <w:rPr>
                <w:lang w:val="fr-ML"/>
              </w:rPr>
            </w:pPr>
            <w:r>
              <w:t>Surveillance et réponse aux décès maternels et périnataux (</w:t>
            </w:r>
            <w:r w:rsidR="76FB94A0" w:rsidRPr="004F65FC">
              <w:rPr>
                <w:highlight w:val="yellow"/>
              </w:rPr>
              <w:t>MPDSR</w:t>
            </w:r>
            <w:r>
              <w:t>)</w:t>
            </w:r>
          </w:p>
        </w:tc>
        <w:tc>
          <w:tcPr>
            <w:tcW w:w="4675" w:type="dxa"/>
          </w:tcPr>
          <w:p w14:paraId="4232DC8E" w14:textId="581B08D5" w:rsidR="0053546D" w:rsidRDefault="007857B9" w:rsidP="0084665E">
            <w:r>
              <w:t xml:space="preserve">Directeurs/responsables du </w:t>
            </w:r>
            <w:r w:rsidR="76FB94A0">
              <w:t>MPDSR</w:t>
            </w:r>
          </w:p>
        </w:tc>
      </w:tr>
      <w:tr w:rsidR="00260617" w14:paraId="160269E5" w14:textId="77777777" w:rsidTr="4887D5E5">
        <w:tc>
          <w:tcPr>
            <w:tcW w:w="4675" w:type="dxa"/>
          </w:tcPr>
          <w:p w14:paraId="179AB4E8" w14:textId="406C35A6" w:rsidR="00260617" w:rsidRPr="00C208F5" w:rsidRDefault="00260617" w:rsidP="0084665E">
            <w:pPr>
              <w:rPr>
                <w:lang w:val="fr-ML"/>
              </w:rPr>
            </w:pPr>
            <w:r>
              <w:t>Morgues / Sites de surveillance des enterrements</w:t>
            </w:r>
          </w:p>
        </w:tc>
        <w:tc>
          <w:tcPr>
            <w:tcW w:w="4675" w:type="dxa"/>
          </w:tcPr>
          <w:p w14:paraId="251AF3A9" w14:textId="44D8B8DA" w:rsidR="00260617" w:rsidRDefault="00260617" w:rsidP="0084665E">
            <w:r>
              <w:t>Responsables/agents de saisie</w:t>
            </w:r>
          </w:p>
        </w:tc>
      </w:tr>
      <w:tr w:rsidR="00260617" w:rsidRPr="00C208F5" w14:paraId="10E2F2DD" w14:textId="77777777" w:rsidTr="4887D5E5">
        <w:tc>
          <w:tcPr>
            <w:tcW w:w="4675" w:type="dxa"/>
          </w:tcPr>
          <w:p w14:paraId="5A5B0CA0" w14:textId="5916A3D8" w:rsidR="00260617" w:rsidRPr="00C208F5" w:rsidRDefault="00260617" w:rsidP="0084665E">
            <w:pPr>
              <w:rPr>
                <w:lang w:val="fr-ML"/>
              </w:rPr>
            </w:pPr>
            <w:r>
              <w:t>Sites de surveillance sanitaire et démographique</w:t>
            </w:r>
          </w:p>
        </w:tc>
        <w:tc>
          <w:tcPr>
            <w:tcW w:w="4675" w:type="dxa"/>
          </w:tcPr>
          <w:p w14:paraId="72004EFB" w14:textId="23C64CAA" w:rsidR="00260617" w:rsidRPr="00C208F5" w:rsidRDefault="00260617" w:rsidP="0084665E">
            <w:pPr>
              <w:rPr>
                <w:lang w:val="fr-ML"/>
              </w:rPr>
            </w:pPr>
            <w:r>
              <w:t>Responsables de la collecte et de l'analyse des données</w:t>
            </w:r>
          </w:p>
        </w:tc>
      </w:tr>
      <w:tr w:rsidR="0053546D" w:rsidRPr="00C208F5" w14:paraId="55113892" w14:textId="77777777" w:rsidTr="4887D5E5">
        <w:tc>
          <w:tcPr>
            <w:tcW w:w="4675" w:type="dxa"/>
          </w:tcPr>
          <w:p w14:paraId="32C0D4E4" w14:textId="79A38E05" w:rsidR="0053546D" w:rsidRDefault="76FB94A0" w:rsidP="0084665E">
            <w:r>
              <w:t>Communautés</w:t>
            </w:r>
          </w:p>
        </w:tc>
        <w:tc>
          <w:tcPr>
            <w:tcW w:w="4675" w:type="dxa"/>
          </w:tcPr>
          <w:p w14:paraId="2AB3F6D6" w14:textId="4ABB97E0" w:rsidR="0053546D" w:rsidRPr="00C208F5" w:rsidRDefault="76FB94A0" w:rsidP="0084665E">
            <w:pPr>
              <w:rPr>
                <w:lang w:val="fr-ML"/>
              </w:rPr>
            </w:pPr>
            <w:r>
              <w:t>Responsables communautaires sélectionnés (chefs de village</w:t>
            </w:r>
            <w:r w:rsidR="007857B9">
              <w:t>)</w:t>
            </w:r>
          </w:p>
        </w:tc>
      </w:tr>
      <w:tr w:rsidR="007857B9" w:rsidRPr="00C208F5" w14:paraId="6A8338FF" w14:textId="77777777" w:rsidTr="4887D5E5">
        <w:tc>
          <w:tcPr>
            <w:tcW w:w="4675" w:type="dxa"/>
          </w:tcPr>
          <w:p w14:paraId="27280589" w14:textId="2985D8BF" w:rsidR="007857B9" w:rsidRPr="00C208F5" w:rsidRDefault="007857B9" w:rsidP="0084665E">
            <w:pPr>
              <w:rPr>
                <w:lang w:val="fr-ML"/>
              </w:rPr>
            </w:pPr>
            <w:r>
              <w:t>Partenaires gouvernementaux</w:t>
            </w:r>
            <w:r w:rsidR="00260617">
              <w:t xml:space="preserve">, agences des Nations Unies, </w:t>
            </w:r>
            <w:r>
              <w:t>ONG de la société civile</w:t>
            </w:r>
          </w:p>
        </w:tc>
        <w:tc>
          <w:tcPr>
            <w:tcW w:w="4675" w:type="dxa"/>
          </w:tcPr>
          <w:p w14:paraId="45690F78" w14:textId="54712AD8" w:rsidR="007857B9" w:rsidRPr="00C208F5" w:rsidRDefault="007857B9" w:rsidP="0084665E">
            <w:pPr>
              <w:rPr>
                <w:lang w:val="fr-ML"/>
              </w:rPr>
            </w:pPr>
            <w:r>
              <w:t>Identifier les personnes concernées par la collecte, l'analyse ou l'utilisation des données</w:t>
            </w:r>
          </w:p>
        </w:tc>
      </w:tr>
    </w:tbl>
    <w:p w14:paraId="2FB728A4" w14:textId="77777777" w:rsidR="00D47C28" w:rsidRPr="00C208F5" w:rsidRDefault="00D47C28" w:rsidP="0084665E">
      <w:pPr>
        <w:rPr>
          <w:lang w:val="fr-ML"/>
        </w:rPr>
      </w:pPr>
    </w:p>
    <w:p w14:paraId="5E0C4F7B" w14:textId="72A28209" w:rsidR="00F13014" w:rsidRPr="00C208F5" w:rsidRDefault="00F13014" w:rsidP="0084665E">
      <w:pPr>
        <w:rPr>
          <w:b/>
          <w:bCs/>
          <w:smallCaps/>
          <w:sz w:val="24"/>
          <w:szCs w:val="24"/>
          <w:lang w:val="fr-ML"/>
        </w:rPr>
      </w:pPr>
      <w:r w:rsidRPr="4887D5E5">
        <w:rPr>
          <w:b/>
          <w:bCs/>
          <w:smallCaps/>
          <w:sz w:val="24"/>
          <w:szCs w:val="24"/>
        </w:rPr>
        <w:t xml:space="preserve">Autorisation éthique </w:t>
      </w:r>
      <w:r w:rsidR="00FF2215" w:rsidRPr="4887D5E5">
        <w:rPr>
          <w:b/>
          <w:bCs/>
          <w:smallCaps/>
          <w:sz w:val="24"/>
          <w:szCs w:val="24"/>
        </w:rPr>
        <w:t>:</w:t>
      </w:r>
    </w:p>
    <w:p w14:paraId="03501220" w14:textId="14490443" w:rsidR="00F13014" w:rsidRPr="00C208F5" w:rsidRDefault="39E9C094" w:rsidP="0084665E">
      <w:pPr>
        <w:rPr>
          <w:lang w:val="fr-ML"/>
        </w:rPr>
      </w:pPr>
      <w:r>
        <w:t xml:space="preserve">Si les données sont collectées sur la fonctionnalité des systèmes existants et ne comprennent pas de données spécifiques sur des sujets humains, il est possible que l'évaluation soit exemptée de l'autorisation éthique pour la recherche sur des sujets humains. Nous vous suggérons de vérifier auprès du bureau local de </w:t>
      </w:r>
      <w:r w:rsidRPr="004F65FC">
        <w:rPr>
          <w:highlight w:val="yellow"/>
        </w:rPr>
        <w:t>l'IRB</w:t>
      </w:r>
      <w:r>
        <w:t xml:space="preserve"> les exigences en matière d'autorisation éthique. Si une autorisation éthique est requise, il sera essentiel de tenir compte du temps nécessaire pour obtenir l'autorisation avant de commencer la collecte des données. Toutefois, pendant que les procédures d'autorisation sont en cours, l'examen documentaire et la collecte de données spécifiques sur la fonctionnalité des systèmes existants doivent être lancés. </w:t>
      </w:r>
    </w:p>
    <w:p w14:paraId="623D0489" w14:textId="7CEB86E2" w:rsidR="003C567E" w:rsidRPr="00C208F5" w:rsidRDefault="00001FB7" w:rsidP="0084665E">
      <w:pPr>
        <w:rPr>
          <w:smallCaps/>
          <w:sz w:val="24"/>
          <w:szCs w:val="24"/>
          <w:lang w:val="fr-ML"/>
        </w:rPr>
      </w:pPr>
      <w:r w:rsidRPr="4887D5E5">
        <w:rPr>
          <w:b/>
          <w:bCs/>
          <w:smallCaps/>
          <w:sz w:val="24"/>
          <w:szCs w:val="24"/>
        </w:rPr>
        <w:t xml:space="preserve">Outils de collecte de données </w:t>
      </w:r>
      <w:r w:rsidR="00FF2215" w:rsidRPr="4887D5E5">
        <w:rPr>
          <w:b/>
          <w:bCs/>
          <w:smallCaps/>
          <w:sz w:val="24"/>
          <w:szCs w:val="24"/>
        </w:rPr>
        <w:t>:</w:t>
      </w:r>
    </w:p>
    <w:p w14:paraId="364EF7F0" w14:textId="03144F33" w:rsidR="005961CB" w:rsidRPr="00C208F5" w:rsidRDefault="39E9C094" w:rsidP="0084665E">
      <w:pPr>
        <w:rPr>
          <w:lang w:val="fr-ML"/>
        </w:rPr>
      </w:pPr>
      <w:r>
        <w:t>Deux types d'outils peuvent être développés.</w:t>
      </w:r>
    </w:p>
    <w:p w14:paraId="505B62E4" w14:textId="68C70D15" w:rsidR="003C567E" w:rsidRPr="00C208F5" w:rsidRDefault="003C567E" w:rsidP="0084665E">
      <w:pPr>
        <w:rPr>
          <w:lang w:val="fr-ML"/>
        </w:rPr>
      </w:pPr>
      <w:r>
        <w:t xml:space="preserve">Un outil structuré pour </w:t>
      </w:r>
      <w:r w:rsidR="004A4132">
        <w:t xml:space="preserve">dresser </w:t>
      </w:r>
      <w:r w:rsidR="0056651A">
        <w:t xml:space="preserve">l'inventaire </w:t>
      </w:r>
      <w:r w:rsidR="004A4132">
        <w:t xml:space="preserve">des </w:t>
      </w:r>
      <w:r>
        <w:t xml:space="preserve">outils </w:t>
      </w:r>
      <w:r w:rsidR="0056651A">
        <w:t xml:space="preserve">de collecte de données existants </w:t>
      </w:r>
      <w:r>
        <w:t xml:space="preserve">et recueillir les fonctionnalités et caractéristiques spécifiques des </w:t>
      </w:r>
      <w:r w:rsidR="0056651A">
        <w:t xml:space="preserve">systèmes </w:t>
      </w:r>
      <w:r w:rsidR="00260617">
        <w:t xml:space="preserve">identifiés lors de l'examen documentaire </w:t>
      </w:r>
      <w:r w:rsidR="00A246A1">
        <w:t>(voir formulaire 1.1 en annexe)</w:t>
      </w:r>
      <w:r w:rsidR="00260617">
        <w:t>.</w:t>
      </w:r>
    </w:p>
    <w:p w14:paraId="26AE0DB9" w14:textId="4BF78E8C" w:rsidR="00001FB7" w:rsidRPr="00C208F5" w:rsidRDefault="007857B9" w:rsidP="0084665E">
      <w:pPr>
        <w:rPr>
          <w:lang w:val="fr-ML"/>
        </w:rPr>
      </w:pPr>
      <w:r>
        <w:t>Questionnaires</w:t>
      </w:r>
      <w:r w:rsidR="00001FB7">
        <w:t xml:space="preserve"> d'entretien </w:t>
      </w:r>
      <w:r w:rsidR="00DC0A03">
        <w:t xml:space="preserve">structurés ou </w:t>
      </w:r>
      <w:r w:rsidR="003C567E">
        <w:t xml:space="preserve">semi-structurés </w:t>
      </w:r>
      <w:r w:rsidR="005961CB">
        <w:t xml:space="preserve">: 1) pour </w:t>
      </w:r>
      <w:r w:rsidR="00E555FC">
        <w:t xml:space="preserve">les parties prenantes concernées par la mortalité, notamment </w:t>
      </w:r>
      <w:r w:rsidR="005961CB">
        <w:t xml:space="preserve">les dirigeants nationaux et infranationaux, les planificateurs, les décideurs politiques, </w:t>
      </w:r>
      <w:r w:rsidR="00E555FC">
        <w:t xml:space="preserve">les utilisateurs de données et la société civile (partenaires, société civile, dirigeants communautaires) </w:t>
      </w:r>
      <w:r w:rsidR="00A246A1">
        <w:t>(voir formulaire 1.2 en annexe)</w:t>
      </w:r>
      <w:r w:rsidR="00E555FC">
        <w:t>,</w:t>
      </w:r>
      <w:r w:rsidR="005961CB">
        <w:t xml:space="preserve"> 2) </w:t>
      </w:r>
      <w:r w:rsidR="00001FB7">
        <w:t xml:space="preserve">pour </w:t>
      </w:r>
      <w:r w:rsidR="005961CB">
        <w:t xml:space="preserve">les producteurs et gestionnaires de données sur la mortalité </w:t>
      </w:r>
      <w:r w:rsidR="00A246A1">
        <w:t>(voir formulaire 1.3 en annexe)</w:t>
      </w:r>
    </w:p>
    <w:p w14:paraId="6C948D73" w14:textId="08749E5A" w:rsidR="00093D34" w:rsidRPr="00C208F5" w:rsidRDefault="3884DBC4" w:rsidP="0084665E">
      <w:pPr>
        <w:rPr>
          <w:smallCaps/>
          <w:sz w:val="24"/>
          <w:szCs w:val="24"/>
          <w:lang w:val="fr-ML"/>
        </w:rPr>
      </w:pPr>
      <w:r w:rsidRPr="4887D5E5">
        <w:rPr>
          <w:b/>
          <w:bCs/>
          <w:smallCaps/>
          <w:sz w:val="24"/>
          <w:szCs w:val="24"/>
        </w:rPr>
        <w:t xml:space="preserve">Formation </w:t>
      </w:r>
      <w:r w:rsidR="00FF2215" w:rsidRPr="4887D5E5">
        <w:rPr>
          <w:b/>
          <w:bCs/>
          <w:smallCaps/>
          <w:sz w:val="24"/>
          <w:szCs w:val="24"/>
        </w:rPr>
        <w:t xml:space="preserve">: </w:t>
      </w:r>
    </w:p>
    <w:p w14:paraId="572A66AF" w14:textId="782A4CE4" w:rsidR="3884DBC4" w:rsidRPr="00C208F5" w:rsidRDefault="37B30058" w:rsidP="3884DBC4">
      <w:pPr>
        <w:spacing w:after="0"/>
        <w:rPr>
          <w:rFonts w:ascii="Aptos" w:eastAsia="Aptos" w:hAnsi="Aptos" w:cs="Aptos"/>
          <w:lang w:val="fr-ML"/>
        </w:rPr>
      </w:pPr>
      <w:r w:rsidRPr="4887D5E5">
        <w:rPr>
          <w:rFonts w:ascii="Aptos" w:eastAsia="Aptos" w:hAnsi="Aptos" w:cs="Aptos"/>
        </w:rPr>
        <w:t>Recruter des spécialistes en sciences sociales, tels que des sociologues ou des chercheurs en santé publique, dans les universités ou les instituts de recherche locaux afin de mener des entretiens qualitatifs et structurés pour l'évaluation, en tirant parti de leur expertise pour saisir les points de vue des parties prenantes sur le fonctionnement du système et la qualité de l' des données. Nommer un sociologue expérimenté pour coordonner l'équipe, former les collecteurs de données pendant au moins deux jours aux techniques d'entretien, aux considérations éthiques et aux sensibilités culturelles, et superviser les essais pilotes sur un petit échantillon afin d'affiner les outils. Si l'expertise locale est limitée, établir des partenariats avec des organisations internationales ou former des agents de santé publique, en veillant à ce que les outils soient adaptés au contexte du pays (par exemple, les lacunes en matière d'enregistrement civil) et à ce que des mesures de contrôle de la qualité, telles que des débriefings, soient mises en œuvre pour garantir la rigueur.</w:t>
      </w:r>
    </w:p>
    <w:p w14:paraId="7D6C0CB6" w14:textId="1E3C4075" w:rsidR="3884DBC4" w:rsidRPr="00C208F5" w:rsidRDefault="3884DBC4">
      <w:pPr>
        <w:rPr>
          <w:lang w:val="fr-ML"/>
        </w:rPr>
      </w:pPr>
    </w:p>
    <w:p w14:paraId="7BED578F" w14:textId="18A4E1BC" w:rsidR="005E7FDC" w:rsidRPr="00C208F5" w:rsidRDefault="37B30058" w:rsidP="0084665E">
      <w:pPr>
        <w:rPr>
          <w:b/>
          <w:bCs/>
          <w:smallCaps/>
          <w:sz w:val="24"/>
          <w:szCs w:val="24"/>
          <w:lang w:val="fr-ML"/>
        </w:rPr>
      </w:pPr>
      <w:r w:rsidRPr="4887D5E5">
        <w:rPr>
          <w:b/>
          <w:bCs/>
          <w:smallCaps/>
          <w:sz w:val="24"/>
          <w:szCs w:val="24"/>
        </w:rPr>
        <w:t xml:space="preserve">Collecte des données </w:t>
      </w:r>
      <w:r w:rsidR="00FF2215" w:rsidRPr="4887D5E5">
        <w:rPr>
          <w:b/>
          <w:bCs/>
          <w:smallCaps/>
          <w:sz w:val="24"/>
          <w:szCs w:val="24"/>
        </w:rPr>
        <w:t xml:space="preserve">: </w:t>
      </w:r>
    </w:p>
    <w:p w14:paraId="2FC08136" w14:textId="55CAC7C6" w:rsidR="005E7FDC" w:rsidRPr="00C208F5" w:rsidRDefault="37B30058" w:rsidP="00955158">
      <w:pPr>
        <w:spacing w:after="0"/>
        <w:rPr>
          <w:rFonts w:ascii="Aptos" w:eastAsia="Aptos" w:hAnsi="Aptos" w:cs="Aptos"/>
          <w:lang w:val="fr-ML"/>
        </w:rPr>
      </w:pPr>
      <w:r w:rsidRPr="2C985E06">
        <w:rPr>
          <w:rFonts w:ascii="Aptos" w:eastAsia="Aptos" w:hAnsi="Aptos" w:cs="Aptos"/>
        </w:rPr>
        <w:t xml:space="preserve">Prévoyez la collecte électronique des données à l'aide de tablettes afin d'améliorer l'efficacité et la précision, avec l'outil d'inventaire du système, conçu pour répertorier les sources de données sur la mortalité et les infrastructures, mis en œuvre dans Excel pour faciliter l'accès et les mises à jour en </w:t>
      </w:r>
      <w:r w:rsidRPr="2C985E06">
        <w:rPr>
          <w:rFonts w:ascii="Aptos" w:eastAsia="Aptos" w:hAnsi="Aptos" w:cs="Aptos"/>
        </w:rPr>
        <w:lastRenderedPageBreak/>
        <w:t xml:space="preserve">temps réel. Programmez l'outil semi-structuré, utilisé pour les entretiens standardisés avec les parties prenantes, sur une plateforme nationale familière telle que </w:t>
      </w:r>
      <w:commentRangeStart w:id="0"/>
      <w:r w:rsidRPr="2C985E06">
        <w:rPr>
          <w:rFonts w:ascii="Aptos" w:eastAsia="Aptos" w:hAnsi="Aptos" w:cs="Aptos"/>
        </w:rPr>
        <w:t>Open Data Kit (</w:t>
      </w:r>
      <w:r w:rsidRPr="2C985E06">
        <w:rPr>
          <w:rStyle w:val="Hyperlink"/>
          <w:rFonts w:ascii="Aptos" w:eastAsia="Aptos" w:hAnsi="Aptos" w:cs="Aptos"/>
        </w:rPr>
        <w:t xml:space="preserve">ODK) </w:t>
      </w:r>
      <w:r w:rsidRPr="2C985E06">
        <w:rPr>
          <w:rFonts w:ascii="Aptos" w:eastAsia="Aptos" w:hAnsi="Aptos" w:cs="Aptos"/>
        </w:rPr>
        <w:t xml:space="preserve">ou </w:t>
      </w:r>
      <w:r w:rsidRPr="2C985E06">
        <w:rPr>
          <w:rStyle w:val="Hyperlink"/>
          <w:rFonts w:ascii="Aptos" w:eastAsia="Aptos" w:hAnsi="Aptos" w:cs="Aptos"/>
        </w:rPr>
        <w:t xml:space="preserve">Survey Solutions, </w:t>
      </w:r>
      <w:commentRangeEnd w:id="0"/>
      <w:r w:rsidRPr="2C985E06">
        <w:rPr>
          <w:rStyle w:val="CommentReference"/>
          <w:rFonts w:ascii="Aptos" w:eastAsia="Aptos" w:hAnsi="Aptos" w:cs="Aptos"/>
          <w:sz w:val="22"/>
          <w:szCs w:val="22"/>
        </w:rPr>
        <w:commentReference w:id="0"/>
      </w:r>
      <w:r w:rsidRPr="2C985E06">
        <w:rPr>
          <w:rFonts w:ascii="Aptos" w:eastAsia="Aptos" w:hAnsi="Aptos" w:cs="Aptos"/>
        </w:rPr>
        <w:t xml:space="preserve">en tirant parti de leurs fonctionnalités adaptées aux appareils mobiles. L'assistance technique de partenaires internationaux (par exemple, l'université Johns Hopkins) peut aider à personnaliser la plateforme si nécessaire. </w:t>
      </w:r>
    </w:p>
    <w:p w14:paraId="3807387A" w14:textId="49F9750E" w:rsidR="005E7FDC" w:rsidRPr="00C208F5" w:rsidRDefault="005E7FDC" w:rsidP="37B30058">
      <w:pPr>
        <w:spacing w:after="0"/>
        <w:rPr>
          <w:rFonts w:ascii="Aptos" w:eastAsia="Aptos" w:hAnsi="Aptos" w:cs="Aptos"/>
          <w:lang w:val="fr-ML"/>
        </w:rPr>
      </w:pPr>
    </w:p>
    <w:p w14:paraId="4411A588" w14:textId="65029F1A" w:rsidR="005E7FDC" w:rsidRPr="00C208F5" w:rsidRDefault="37B30058" w:rsidP="37B30058">
      <w:pPr>
        <w:spacing w:after="0"/>
        <w:rPr>
          <w:rFonts w:ascii="Aptos" w:eastAsia="Aptos" w:hAnsi="Aptos" w:cs="Aptos"/>
          <w:lang w:val="fr-ML"/>
        </w:rPr>
      </w:pPr>
      <w:r w:rsidRPr="4887D5E5">
        <w:rPr>
          <w:rFonts w:ascii="Aptos" w:eastAsia="Aptos" w:hAnsi="Aptos" w:cs="Aptos"/>
        </w:rPr>
        <w:t xml:space="preserve">Pour les entretiens qualitatifs, enregistrez les discussions (à l'aide d'appareils audio sécurisés) et prenez des notes. Transcrivez quotidiennement les enregistrements par une équipe locale formée afin de garantir une analyse rapide, en prévoyant des solutions de secours telles que des sauvegardes papier ou des outils hors ligne pour les zones où la connectivité est limitée. Le chercheur en sciences sociales senior doit superviser l'adaptation des outils, la qualité des données et le respect d'un plan précisant l'échantillonnage, les protocoles de transcription et l'analyse thématique, en veillant à l'alignement avec le contexte national de surveillance de la mortalité. </w:t>
      </w:r>
    </w:p>
    <w:p w14:paraId="76464DA1" w14:textId="03E62ED0" w:rsidR="005E7FDC" w:rsidRPr="00C208F5" w:rsidRDefault="005E7FDC" w:rsidP="37B30058">
      <w:pPr>
        <w:spacing w:after="0"/>
        <w:rPr>
          <w:lang w:val="fr-ML"/>
        </w:rPr>
      </w:pPr>
    </w:p>
    <w:p w14:paraId="4E4C37EA" w14:textId="26E878E7" w:rsidR="00963147" w:rsidRPr="00C208F5" w:rsidRDefault="15A10536" w:rsidP="0084665E">
      <w:pPr>
        <w:rPr>
          <w:sz w:val="24"/>
          <w:szCs w:val="24"/>
          <w:lang w:val="fr-ML"/>
        </w:rPr>
      </w:pPr>
      <w:r w:rsidRPr="4887D5E5">
        <w:rPr>
          <w:b/>
          <w:bCs/>
          <w:smallCaps/>
          <w:sz w:val="24"/>
          <w:szCs w:val="24"/>
        </w:rPr>
        <w:t xml:space="preserve">Analyse </w:t>
      </w:r>
      <w:r w:rsidRPr="4887D5E5">
        <w:rPr>
          <w:sz w:val="24"/>
          <w:szCs w:val="24"/>
        </w:rPr>
        <w:t xml:space="preserve">: </w:t>
      </w:r>
    </w:p>
    <w:p w14:paraId="7F122513" w14:textId="7EF94FE0" w:rsidR="005E7FDC" w:rsidRPr="00C208F5" w:rsidRDefault="15A10536" w:rsidP="15A10536">
      <w:pPr>
        <w:spacing w:after="0"/>
        <w:rPr>
          <w:rFonts w:ascii="Aptos" w:eastAsia="Aptos" w:hAnsi="Aptos" w:cs="Aptos"/>
          <w:lang w:val="fr-ML"/>
        </w:rPr>
      </w:pPr>
      <w:r w:rsidRPr="4887D5E5">
        <w:rPr>
          <w:rFonts w:ascii="Aptos" w:eastAsia="Aptos" w:hAnsi="Aptos" w:cs="Aptos"/>
        </w:rPr>
        <w:t xml:space="preserve"> Analysez les données afin d'atteindre les objectifs de l'évaluation, à savoir évaluer les systèmes pour un système d'enregistrement des naissances représentatif à l'échelle nationale (SRS), en utilisant principalement des méthodes descriptives telles que l'analyse thématique pour les entretiens qualitatifs et des tableaux récapitulatifs pour les caractéristiques du système, et en produisant des rapports et des visualisations clairs.</w:t>
      </w:r>
    </w:p>
    <w:p w14:paraId="7357D603" w14:textId="0E1FB8CF" w:rsidR="005E7FDC" w:rsidRPr="00C208F5" w:rsidRDefault="005E7FDC" w:rsidP="0084665E">
      <w:pPr>
        <w:rPr>
          <w:lang w:val="fr-ML"/>
        </w:rPr>
      </w:pPr>
    </w:p>
    <w:p w14:paraId="448D9778" w14:textId="18941D45" w:rsidR="15A10536" w:rsidRPr="00C208F5" w:rsidRDefault="15A10536" w:rsidP="15A10536">
      <w:pPr>
        <w:spacing w:after="0"/>
        <w:rPr>
          <w:rFonts w:ascii="Aptos" w:eastAsia="Aptos" w:hAnsi="Aptos" w:cs="Aptos"/>
          <w:lang w:val="fr-ML"/>
        </w:rPr>
      </w:pPr>
      <w:r w:rsidRPr="4887D5E5">
        <w:rPr>
          <w:b/>
          <w:bCs/>
          <w:i/>
          <w:iCs/>
        </w:rPr>
        <w:t xml:space="preserve">Priorités et cadre juridique pour la surveillance de la mortalité et des causes de décès </w:t>
      </w:r>
      <w:r>
        <w:t xml:space="preserve">: </w:t>
      </w:r>
      <w:r w:rsidRPr="4887D5E5">
        <w:rPr>
          <w:rFonts w:ascii="Aptos" w:eastAsia="Aptos" w:hAnsi="Aptos" w:cs="Aptos"/>
        </w:rPr>
        <w:t xml:space="preserve"> En ce qui concerne les priorités gouvernementales et les cadres juridiques, examiner les entretiens avec les dirigeants (par exemple, le ministère de la Santé, les responsables du CRVS) et les documents stratégiques qui aident à comprendre les priorités nationales en matière de surveillance de la mortalité, les lois ou plans existants (y compris le CRVS), les mécanismes de financement et les objectifs de numérisation. Identifier les principales parties prenantes, les liens intersectoriels (par exemple, le partage de données entre les ministères de la santé et de l'intérieur) et les opportunités ou les défis pour la mise en œuvre du SRS, en validant les résultats lors d'ateliers avec les parties prenantes.</w:t>
      </w:r>
    </w:p>
    <w:p w14:paraId="1A52140C" w14:textId="13AD23E2" w:rsidR="15A10536" w:rsidRPr="00C208F5" w:rsidRDefault="15A10536">
      <w:pPr>
        <w:rPr>
          <w:lang w:val="fr-ML"/>
        </w:rPr>
      </w:pPr>
    </w:p>
    <w:p w14:paraId="6C0B8443" w14:textId="2AAC7F42" w:rsidR="15A10536" w:rsidRPr="00C208F5" w:rsidRDefault="15A10536" w:rsidP="15A10536">
      <w:pPr>
        <w:spacing w:after="0"/>
        <w:rPr>
          <w:rFonts w:ascii="Aptos" w:eastAsia="Aptos" w:hAnsi="Aptos" w:cs="Aptos"/>
          <w:lang w:val="fr-ML"/>
        </w:rPr>
      </w:pPr>
      <w:r w:rsidRPr="4887D5E5">
        <w:rPr>
          <w:b/>
          <w:bCs/>
          <w:i/>
          <w:iCs/>
        </w:rPr>
        <w:t xml:space="preserve">Systèmes de données sur la mortalité et liens </w:t>
      </w:r>
      <w:r>
        <w:t xml:space="preserve">: </w:t>
      </w:r>
      <w:r w:rsidRPr="4887D5E5">
        <w:rPr>
          <w:rFonts w:ascii="Aptos" w:eastAsia="Aptos" w:hAnsi="Aptos" w:cs="Aptos"/>
        </w:rPr>
        <w:t>pour évaluer les systèmes de données sur la mortalité et les liens, documentez les plateformes existantes (par exemple, CRVS, DHIS-2), en précisant leurs mandats juridiques, leur couverture géographique, leur représentativité, leurs outils de collecte de données, leurs processus, leur fréquence, leur stockage, leur analyse, leurs résultats et leurs méthodes de diffusion. Analysez les interactions entre les systèmes, les flux de données, l'interopérabilité (par exemple, la compatibilité CRVS-DHIS- 2) et l'utilisation des données.  Utiliser l'analyse des réseaux sociaux pour cartographier les relations entre les parties prenantes, comme le montre l'évaluation réalisée en Zambie (contacter les partenaires techniques pour obtenir de l'aide). Évaluer la qualité des données, notamment leur exhaustivité et leur exactitude, afin d'éclairer la conception du SRS.</w:t>
      </w:r>
    </w:p>
    <w:p w14:paraId="502AA029" w14:textId="70993B0A" w:rsidR="15A10536" w:rsidRPr="00C208F5" w:rsidRDefault="15A10536">
      <w:pPr>
        <w:rPr>
          <w:lang w:val="fr-ML"/>
        </w:rPr>
      </w:pPr>
    </w:p>
    <w:p w14:paraId="5F747140" w14:textId="448B2F78" w:rsidR="00503B44" w:rsidRPr="00C208F5" w:rsidRDefault="00503B44" w:rsidP="15A10536">
      <w:pPr>
        <w:spacing w:after="0"/>
        <w:rPr>
          <w:rStyle w:val="FootnoteReference"/>
          <w:lang w:val="fr-ML"/>
        </w:rPr>
      </w:pPr>
      <w:r w:rsidRPr="4887D5E5">
        <w:rPr>
          <w:b/>
          <w:bCs/>
          <w:i/>
          <w:iCs/>
          <w:lang w:val="fr-ML"/>
        </w:rPr>
        <w:lastRenderedPageBreak/>
        <w:t xml:space="preserve">Expérience des solutions numériques pour la collecte </w:t>
      </w:r>
      <w:r w:rsidR="00B32DB0" w:rsidRPr="4887D5E5">
        <w:rPr>
          <w:b/>
          <w:bCs/>
          <w:i/>
          <w:iCs/>
          <w:lang w:val="fr-ML"/>
        </w:rPr>
        <w:t xml:space="preserve">et </w:t>
      </w:r>
      <w:r w:rsidRPr="4887D5E5">
        <w:rPr>
          <w:b/>
          <w:bCs/>
          <w:i/>
          <w:iCs/>
          <w:lang w:val="fr-ML"/>
        </w:rPr>
        <w:t xml:space="preserve">le suivi des données </w:t>
      </w:r>
      <w:r w:rsidRPr="00C208F5">
        <w:rPr>
          <w:lang w:val="fr-ML"/>
        </w:rPr>
        <w:t xml:space="preserve">: </w:t>
      </w:r>
      <w:r w:rsidR="15A10536" w:rsidRPr="00C208F5">
        <w:rPr>
          <w:rFonts w:ascii="Aptos" w:eastAsia="Aptos" w:hAnsi="Aptos" w:cs="Aptos"/>
          <w:lang w:val="fr-ML"/>
        </w:rPr>
        <w:t xml:space="preserve">pour les solutions numériques, décrire l'utilisation actuelle ou prévue d'outils tels que les CRVS électroniques ou les plateformes mobiles, en évaluant les types de logiciels, les capacités et les lignes directrices pour la numérisation, telles que </w:t>
      </w:r>
      <w:r w:rsidR="15A10536" w:rsidRPr="00C208F5">
        <w:rPr>
          <w:lang w:val="fr-ML"/>
        </w:rPr>
        <w:t>les lignes directrices SMART de l'OMS</w:t>
      </w:r>
      <w:r w:rsidRPr="15A10536">
        <w:rPr>
          <w:rStyle w:val="FootnoteReference"/>
        </w:rPr>
        <w:footnoteReference w:id="3"/>
      </w:r>
      <w:r w:rsidR="15A10536" w:rsidRPr="00C208F5">
        <w:rPr>
          <w:rFonts w:ascii="Aptos" w:eastAsia="Aptos" w:hAnsi="Aptos" w:cs="Aptos"/>
          <w:lang w:val="fr-ML"/>
        </w:rPr>
        <w:t xml:space="preserve"> ou d'autres normes de santé numérique. Mettre en évidence les défis en matière d'infrastructure ou de formation afin d'évaluer la scalabilité de la mise en œuvre du SRS. </w:t>
      </w:r>
    </w:p>
    <w:p w14:paraId="7632E5AD" w14:textId="46A367D3" w:rsidR="15A10536" w:rsidRPr="00C208F5" w:rsidRDefault="15A10536" w:rsidP="15A10536">
      <w:pPr>
        <w:spacing w:after="0"/>
        <w:rPr>
          <w:lang w:val="fr-ML"/>
        </w:rPr>
      </w:pPr>
    </w:p>
    <w:p w14:paraId="241EA88D" w14:textId="35C1896A" w:rsidR="00963147" w:rsidRPr="00C208F5" w:rsidRDefault="15A10536" w:rsidP="15A10536">
      <w:pPr>
        <w:spacing w:after="0"/>
        <w:rPr>
          <w:rFonts w:ascii="Aptos" w:eastAsia="Aptos" w:hAnsi="Aptos" w:cs="Aptos"/>
          <w:lang w:val="fr-ML"/>
        </w:rPr>
      </w:pPr>
      <w:r w:rsidRPr="4887D5E5">
        <w:rPr>
          <w:b/>
          <w:bCs/>
          <w:i/>
          <w:iCs/>
        </w:rPr>
        <w:t xml:space="preserve">Analyse SWOT des systèmes identifiés </w:t>
      </w:r>
      <w:r w:rsidR="00B53E24">
        <w:t xml:space="preserve">: </w:t>
      </w:r>
      <w:r w:rsidR="00B53E24" w:rsidRPr="4887D5E5">
        <w:rPr>
          <w:rFonts w:ascii="Aptos" w:eastAsia="Aptos" w:hAnsi="Aptos" w:cs="Aptos"/>
        </w:rPr>
        <w:t xml:space="preserve">Réalisez </w:t>
      </w:r>
      <w:r w:rsidRPr="4887D5E5">
        <w:rPr>
          <w:rFonts w:ascii="Aptos" w:eastAsia="Aptos" w:hAnsi="Aptos" w:cs="Aptos"/>
        </w:rPr>
        <w:t xml:space="preserve">une analyse </w:t>
      </w:r>
      <w:r w:rsidRPr="004F65FC">
        <w:rPr>
          <w:rFonts w:ascii="Aptos" w:eastAsia="Aptos" w:hAnsi="Aptos" w:cs="Aptos"/>
          <w:highlight w:val="yellow"/>
        </w:rPr>
        <w:t>SWOT</w:t>
      </w:r>
      <w:r w:rsidRPr="4887D5E5">
        <w:rPr>
          <w:rFonts w:ascii="Aptos" w:eastAsia="Aptos" w:hAnsi="Aptos" w:cs="Aptos"/>
        </w:rPr>
        <w:t xml:space="preserve"> (forces, faiblesses, opportunités, menaces) pour chaque plateforme et pour le paysage global de la surveillance de la mortalité, en identifiant les lacunes spécifiques au système et les lacunes collectives. Sous la direction de l'équipe d'évaluation, rédigez une analyse, puis engagez un comité plus large de parties prenantes dans le cadre d'ateliers afin d'affiner les conclusions et de hiérarchiser les recommandations concrètes pour la planification du SRS.</w:t>
      </w:r>
    </w:p>
    <w:p w14:paraId="1B62D9CD" w14:textId="3B46E448" w:rsidR="00963147" w:rsidRPr="00C208F5" w:rsidRDefault="00963147" w:rsidP="0084665E">
      <w:pPr>
        <w:rPr>
          <w:lang w:val="fr-ML"/>
        </w:rPr>
      </w:pPr>
    </w:p>
    <w:p w14:paraId="282E2463" w14:textId="18A2D570" w:rsidR="006139F2" w:rsidRPr="00C208F5" w:rsidRDefault="006139F2" w:rsidP="0084665E">
      <w:pPr>
        <w:rPr>
          <w:b/>
          <w:bCs/>
          <w:smallCaps/>
          <w:sz w:val="24"/>
          <w:szCs w:val="24"/>
          <w:lang w:val="fr-ML"/>
        </w:rPr>
      </w:pPr>
      <w:r w:rsidRPr="4887D5E5">
        <w:rPr>
          <w:b/>
          <w:bCs/>
          <w:smallCaps/>
          <w:sz w:val="24"/>
          <w:szCs w:val="24"/>
        </w:rPr>
        <w:t xml:space="preserve">Rapports </w:t>
      </w:r>
      <w:r w:rsidR="005A6792" w:rsidRPr="4887D5E5">
        <w:rPr>
          <w:b/>
          <w:bCs/>
          <w:smallCaps/>
          <w:sz w:val="24"/>
          <w:szCs w:val="24"/>
        </w:rPr>
        <w:t>:</w:t>
      </w:r>
    </w:p>
    <w:p w14:paraId="5FAB691A" w14:textId="776A29EE" w:rsidR="006139F2" w:rsidRPr="00C208F5" w:rsidRDefault="00B756BD" w:rsidP="0084665E">
      <w:pPr>
        <w:rPr>
          <w:lang w:val="fr-ML"/>
        </w:rPr>
      </w:pPr>
      <w:r>
        <w:t>Un rapport complet détaillant les conclusions de l'évaluation doit être produit. Nous proposons que le rapport soit organisé selon les sections suivantes :</w:t>
      </w:r>
    </w:p>
    <w:p w14:paraId="557F20D1" w14:textId="2EC09765" w:rsidR="00B756BD" w:rsidRPr="00C208F5" w:rsidRDefault="15A10536" w:rsidP="00B756BD">
      <w:pPr>
        <w:pStyle w:val="ListParagraph"/>
        <w:numPr>
          <w:ilvl w:val="0"/>
          <w:numId w:val="6"/>
        </w:numPr>
        <w:rPr>
          <w:lang w:val="fr-ML"/>
        </w:rPr>
      </w:pPr>
      <w:r>
        <w:t xml:space="preserve">Contexte : résumer les informations contextuelles pertinentes concernant les objectifs du gouvernement en matière de santé et de population, les principaux plans stratégiques, les efforts déployés pour collecter des données sur la mortalité et les raisons justifiant la mise en place d'une surveillance de la mortalité dans le pays. </w:t>
      </w:r>
    </w:p>
    <w:p w14:paraId="1CA46129" w14:textId="033B2757" w:rsidR="00B756BD" w:rsidRPr="00C208F5" w:rsidRDefault="00B756BD" w:rsidP="00B756BD">
      <w:pPr>
        <w:pStyle w:val="ListParagraph"/>
        <w:numPr>
          <w:ilvl w:val="0"/>
          <w:numId w:val="6"/>
        </w:numPr>
        <w:rPr>
          <w:lang w:val="fr-ML"/>
        </w:rPr>
      </w:pPr>
      <w:r>
        <w:t xml:space="preserve">Objectif : l'évaluation est menée afin de fournir des données qui serviront à la conception et à la mise en œuvre d'un système d'enregistrement par échantillonnage dans le pays. </w:t>
      </w:r>
      <w:r w:rsidR="0083060D">
        <w:t xml:space="preserve">Cet objectif </w:t>
      </w:r>
      <w:r>
        <w:t xml:space="preserve">doit être indiqué et l'objectif </w:t>
      </w:r>
      <w:r w:rsidR="00374134">
        <w:t xml:space="preserve">à long terme </w:t>
      </w:r>
      <w:r>
        <w:t xml:space="preserve">clairement expliqué. Les objectifs spécifiques liés à l'évaluation doivent être inclus. En </w:t>
      </w:r>
      <w:r w:rsidR="00374134">
        <w:t xml:space="preserve">général, </w:t>
      </w:r>
      <w:r>
        <w:t xml:space="preserve">ces informations devraient déjà figurer dans le protocole d'évaluation. </w:t>
      </w:r>
    </w:p>
    <w:p w14:paraId="0B9CC92D" w14:textId="7FCE5B7F" w:rsidR="00B756BD" w:rsidRPr="00C208F5" w:rsidRDefault="00B756BD" w:rsidP="00B756BD">
      <w:pPr>
        <w:pStyle w:val="ListParagraph"/>
        <w:numPr>
          <w:ilvl w:val="0"/>
          <w:numId w:val="6"/>
        </w:numPr>
        <w:rPr>
          <w:lang w:val="fr-ML"/>
        </w:rPr>
      </w:pPr>
      <w:r>
        <w:t>Agence chargée de la mise en œuvre : indiquer les agences qui ont dirigé les activités, les autres partenaires qui ont participé et leurs rôles spécifiques</w:t>
      </w:r>
    </w:p>
    <w:p w14:paraId="3E10EE68" w14:textId="2E8E1BAE" w:rsidR="00B756BD" w:rsidRPr="00C208F5" w:rsidRDefault="00B756BD" w:rsidP="00B756BD">
      <w:pPr>
        <w:pStyle w:val="ListParagraph"/>
        <w:numPr>
          <w:ilvl w:val="0"/>
          <w:numId w:val="6"/>
        </w:numPr>
        <w:rPr>
          <w:lang w:val="fr-ML"/>
        </w:rPr>
      </w:pPr>
      <w:r>
        <w:t>Méthodes d'évaluation : cette section s'inspirera du protocole d'évaluation, mis à jour avec les changements effectivement apportés à la mise en œuvre</w:t>
      </w:r>
    </w:p>
    <w:p w14:paraId="65D625E4" w14:textId="77777777" w:rsidR="00F13014" w:rsidRDefault="00F13014" w:rsidP="00B756BD">
      <w:pPr>
        <w:pStyle w:val="ListParagraph"/>
        <w:numPr>
          <w:ilvl w:val="0"/>
          <w:numId w:val="6"/>
        </w:numPr>
      </w:pPr>
      <w:r>
        <w:t>Résultats</w:t>
      </w:r>
    </w:p>
    <w:p w14:paraId="3709C798" w14:textId="7F88B94E" w:rsidR="00F13014" w:rsidRPr="00C208F5" w:rsidRDefault="00F13014" w:rsidP="002677C3">
      <w:pPr>
        <w:pStyle w:val="ListParagraph"/>
        <w:numPr>
          <w:ilvl w:val="1"/>
          <w:numId w:val="6"/>
        </w:numPr>
        <w:rPr>
          <w:lang w:val="fr-ML"/>
        </w:rPr>
      </w:pPr>
      <w:r>
        <w:t xml:space="preserve">Cadre de surveillance de la mortalité (décrire tout </w:t>
      </w:r>
      <w:r w:rsidR="00374134">
        <w:t>cadre, politique, structure, comité et mandat de haut niveau existant pour la surveillance de la mortalité dans le pays</w:t>
      </w:r>
      <w:r w:rsidR="0083060D">
        <w:t>, ainsi que son financement</w:t>
      </w:r>
      <w:r w:rsidR="00374134">
        <w:t>)</w:t>
      </w:r>
    </w:p>
    <w:p w14:paraId="0573FD26" w14:textId="2C528A35" w:rsidR="00B756BD" w:rsidRPr="00C208F5" w:rsidRDefault="00374134" w:rsidP="002677C3">
      <w:pPr>
        <w:pStyle w:val="ListParagraph"/>
        <w:numPr>
          <w:ilvl w:val="1"/>
          <w:numId w:val="6"/>
        </w:numPr>
        <w:rPr>
          <w:lang w:val="fr-ML"/>
        </w:rPr>
      </w:pPr>
      <w:r>
        <w:t>Systèmes</w:t>
      </w:r>
      <w:r w:rsidR="00F13014">
        <w:t xml:space="preserve"> de données sur la mortalité et parties prenantes</w:t>
      </w:r>
    </w:p>
    <w:p w14:paraId="550AC0BF" w14:textId="19E258EC" w:rsidR="00F13014" w:rsidRPr="00C208F5" w:rsidRDefault="00F13014" w:rsidP="00374134">
      <w:pPr>
        <w:pStyle w:val="ListParagraph"/>
        <w:numPr>
          <w:ilvl w:val="1"/>
          <w:numId w:val="6"/>
        </w:numPr>
        <w:rPr>
          <w:lang w:val="fr-ML"/>
        </w:rPr>
      </w:pPr>
      <w:r>
        <w:t xml:space="preserve">Liens/intégration </w:t>
      </w:r>
      <w:r w:rsidR="00374134">
        <w:t>des systèmes de mortalité</w:t>
      </w:r>
    </w:p>
    <w:p w14:paraId="7E13DA0B" w14:textId="6BA73C55" w:rsidR="00374134" w:rsidRDefault="00374134" w:rsidP="002677C3">
      <w:pPr>
        <w:pStyle w:val="ListParagraph"/>
        <w:numPr>
          <w:ilvl w:val="2"/>
          <w:numId w:val="6"/>
        </w:numPr>
      </w:pPr>
      <w:r>
        <w:t>Analyse des réseaux</w:t>
      </w:r>
    </w:p>
    <w:p w14:paraId="116B2E28" w14:textId="14BE7C9F" w:rsidR="00374134" w:rsidRPr="00C208F5" w:rsidRDefault="00374134" w:rsidP="00374134">
      <w:pPr>
        <w:pStyle w:val="ListParagraph"/>
        <w:numPr>
          <w:ilvl w:val="1"/>
          <w:numId w:val="6"/>
        </w:numPr>
        <w:rPr>
          <w:lang w:val="fr-ML"/>
        </w:rPr>
      </w:pPr>
      <w:r>
        <w:t xml:space="preserve">Principaux indicateurs de mortalité produits par chaque système </w:t>
      </w:r>
    </w:p>
    <w:p w14:paraId="3CB79926" w14:textId="3EE03A3F" w:rsidR="00374134" w:rsidRPr="00C208F5" w:rsidRDefault="00374134" w:rsidP="00374134">
      <w:pPr>
        <w:pStyle w:val="ListParagraph"/>
        <w:numPr>
          <w:ilvl w:val="2"/>
          <w:numId w:val="6"/>
        </w:numPr>
        <w:rPr>
          <w:lang w:val="fr-ML"/>
        </w:rPr>
      </w:pPr>
      <w:r>
        <w:t>Formulaires, éléments et flux de données</w:t>
      </w:r>
    </w:p>
    <w:p w14:paraId="3172C11F" w14:textId="59551B02" w:rsidR="00374134" w:rsidRDefault="00374134" w:rsidP="002677C3">
      <w:pPr>
        <w:pStyle w:val="ListParagraph"/>
        <w:numPr>
          <w:ilvl w:val="2"/>
          <w:numId w:val="6"/>
        </w:numPr>
      </w:pPr>
      <w:r>
        <w:t>Indicateurs : numérateurs et dénominateurs</w:t>
      </w:r>
    </w:p>
    <w:p w14:paraId="0774F150" w14:textId="75330B4B" w:rsidR="00374134" w:rsidRPr="00C208F5" w:rsidRDefault="00374134" w:rsidP="00374134">
      <w:pPr>
        <w:pStyle w:val="ListParagraph"/>
        <w:numPr>
          <w:ilvl w:val="1"/>
          <w:numId w:val="6"/>
        </w:numPr>
        <w:rPr>
          <w:lang w:val="fr-ML"/>
        </w:rPr>
      </w:pPr>
      <w:r>
        <w:t>Couverture géographique et communication des données</w:t>
      </w:r>
    </w:p>
    <w:p w14:paraId="41221D55" w14:textId="3CC63235" w:rsidR="00374134" w:rsidRPr="00C208F5" w:rsidRDefault="00C815D8" w:rsidP="00374134">
      <w:pPr>
        <w:pStyle w:val="ListParagraph"/>
        <w:numPr>
          <w:ilvl w:val="1"/>
          <w:numId w:val="6"/>
        </w:numPr>
        <w:rPr>
          <w:lang w:val="fr-ML"/>
        </w:rPr>
      </w:pPr>
      <w:r>
        <w:lastRenderedPageBreak/>
        <w:t>Expérience et utilisation des solutions informatiques et numériques</w:t>
      </w:r>
    </w:p>
    <w:p w14:paraId="64619DDB" w14:textId="42521235" w:rsidR="00C815D8" w:rsidRPr="00C208F5" w:rsidRDefault="00C815D8" w:rsidP="00374134">
      <w:pPr>
        <w:pStyle w:val="ListParagraph"/>
        <w:numPr>
          <w:ilvl w:val="1"/>
          <w:numId w:val="6"/>
        </w:numPr>
        <w:rPr>
          <w:lang w:val="fr-ML"/>
        </w:rPr>
      </w:pPr>
      <w:r>
        <w:t>Analyse SWOT des systèmes de données existants et des lacunes existantes</w:t>
      </w:r>
    </w:p>
    <w:p w14:paraId="703527BB" w14:textId="5F9D687E" w:rsidR="00C815D8" w:rsidRPr="00C208F5" w:rsidRDefault="00C815D8" w:rsidP="002677C3">
      <w:pPr>
        <w:pStyle w:val="ListParagraph"/>
        <w:numPr>
          <w:ilvl w:val="0"/>
          <w:numId w:val="6"/>
        </w:numPr>
        <w:rPr>
          <w:lang w:val="fr-ML"/>
        </w:rPr>
      </w:pPr>
      <w:r>
        <w:t xml:space="preserve">Recommandations pour la conception d'un système d'enregistrement par échantillonnage </w:t>
      </w:r>
      <w:r w:rsidR="0083060D">
        <w:t>(responsable institutionnel, parties prenantes à impliquer, financement, conception méthodologique, collecte et flux des données, analyse et communication, diffusion, promotion de la demande et de l'utilisation des données)</w:t>
      </w:r>
    </w:p>
    <w:p w14:paraId="71497E24" w14:textId="1872F05C" w:rsidR="00C815D8" w:rsidRDefault="00C815D8" w:rsidP="00C815D8">
      <w:pPr>
        <w:pStyle w:val="ListParagraph"/>
        <w:numPr>
          <w:ilvl w:val="0"/>
          <w:numId w:val="6"/>
        </w:numPr>
      </w:pPr>
      <w:r>
        <w:t>Limites et conclusion</w:t>
      </w:r>
    </w:p>
    <w:p w14:paraId="751986A8" w14:textId="7553ECD7" w:rsidR="00B32DB0" w:rsidRPr="00C208F5" w:rsidRDefault="00C815D8" w:rsidP="002677C3">
      <w:pPr>
        <w:pStyle w:val="ListParagraph"/>
        <w:numPr>
          <w:ilvl w:val="0"/>
          <w:numId w:val="6"/>
        </w:numPr>
        <w:rPr>
          <w:lang w:val="fr-ML"/>
        </w:rPr>
      </w:pPr>
      <w:r>
        <w:t xml:space="preserve">Annexe : outils utilisés </w:t>
      </w:r>
      <w:r w:rsidR="00B32DB0">
        <w:t xml:space="preserve">; </w:t>
      </w:r>
      <w:r w:rsidR="003E373A">
        <w:t>liste des parties prenantes (institutions) ; graphiques pertinents</w:t>
      </w:r>
    </w:p>
    <w:p w14:paraId="02ABDEDC" w14:textId="7062BCB5" w:rsidR="00C815D8" w:rsidRDefault="00B32DB0" w:rsidP="002677C3">
      <w:pPr>
        <w:pStyle w:val="ListParagraph"/>
        <w:numPr>
          <w:ilvl w:val="0"/>
          <w:numId w:val="6"/>
        </w:numPr>
      </w:pPr>
      <w:r>
        <w:t xml:space="preserve">Références  </w:t>
      </w:r>
    </w:p>
    <w:p w14:paraId="41382845" w14:textId="77777777" w:rsidR="00B756BD" w:rsidRDefault="00B756BD" w:rsidP="0084665E"/>
    <w:p w14:paraId="73DDD4B5" w14:textId="39E2E016" w:rsidR="00963147" w:rsidRPr="005A6792" w:rsidRDefault="687947B3" w:rsidP="0084665E">
      <w:pPr>
        <w:rPr>
          <w:b/>
          <w:bCs/>
          <w:smallCaps/>
          <w:sz w:val="24"/>
          <w:szCs w:val="24"/>
        </w:rPr>
      </w:pPr>
      <w:r w:rsidRPr="4887D5E5">
        <w:rPr>
          <w:b/>
          <w:bCs/>
          <w:smallCaps/>
          <w:sz w:val="24"/>
          <w:szCs w:val="24"/>
        </w:rPr>
        <w:t xml:space="preserve">Partage des résultats </w:t>
      </w:r>
      <w:r w:rsidR="005A6792" w:rsidRPr="4887D5E5">
        <w:rPr>
          <w:b/>
          <w:bCs/>
          <w:smallCaps/>
          <w:sz w:val="24"/>
          <w:szCs w:val="24"/>
        </w:rPr>
        <w:t>:</w:t>
      </w:r>
    </w:p>
    <w:p w14:paraId="1BD0C4F0" w14:textId="053761E6" w:rsidR="00963147" w:rsidRPr="00C208F5" w:rsidRDefault="687947B3" w:rsidP="687947B3">
      <w:pPr>
        <w:spacing w:after="0"/>
        <w:rPr>
          <w:rFonts w:ascii="Aptos" w:eastAsia="Aptos" w:hAnsi="Aptos" w:cs="Aptos"/>
          <w:lang w:val="fr-ML"/>
        </w:rPr>
      </w:pPr>
      <w:r w:rsidRPr="4887D5E5">
        <w:rPr>
          <w:rFonts w:ascii="Aptos" w:eastAsia="Aptos" w:hAnsi="Aptos" w:cs="Aptos"/>
        </w:rPr>
        <w:t xml:space="preserve"> Organiser une réunion technique pour présenter les conclusions de l'évaluation, discuter des principes proposés pour la surveillance de la mortalité (par exemple, la qualité des données, l'interopérabilité) et recommander des stratégies pour un système d'enregistrement par échantillonnage (SRS). Discuter </w:t>
      </w:r>
      <w:r w:rsidR="62BED016" w:rsidRPr="4887D5E5">
        <w:rPr>
          <w:rFonts w:ascii="Aptos" w:eastAsia="Aptos" w:hAnsi="Aptos" w:cs="Aptos"/>
        </w:rPr>
        <w:t xml:space="preserve">le </w:t>
      </w:r>
      <w:r w:rsidRPr="4887D5E5">
        <w:rPr>
          <w:rFonts w:ascii="Aptos" w:eastAsia="Aptos" w:hAnsi="Aptos" w:cs="Aptos"/>
        </w:rPr>
        <w:t xml:space="preserve">choix des sites, des outils numériques et des plans de financement, dans le but de valider les résultats et d'obtenir l'engagement des parties prenantes. Donner la priorité aux principales parties prenantes, telles que les responsables du ministère de la Santé, les autorités chargées de l'état civil et de la santé reproductive, les responsables sanitaires de district et les partenaires tels que </w:t>
      </w:r>
      <w:r w:rsidRPr="004F65FC">
        <w:rPr>
          <w:rFonts w:ascii="Aptos" w:eastAsia="Aptos" w:hAnsi="Aptos" w:cs="Aptos"/>
          <w:highlight w:val="yellow"/>
        </w:rPr>
        <w:t>l'OMS</w:t>
      </w:r>
      <w:r w:rsidRPr="4887D5E5">
        <w:rPr>
          <w:rFonts w:ascii="Aptos" w:eastAsia="Aptos" w:hAnsi="Aptos" w:cs="Aptos"/>
        </w:rPr>
        <w:t>, en fonction de leur influence et de leur rôle dans la supervision des données, en veillant à la représentation des niveaux national et infranational. Organiser la réunion sous la forme d'un atelier hybride comprenant des présentations et des discussions, en utilisant des supports visuels tels que des cartes du système pour communiquer les lacunes et les opportunités.  Rédigez une note d'orientation décrivant les mesures concrètes à prendre. Assurez le suivi en diffusant un rapport détaillé et en formant des groupes de travail composés des parties prenantes afin de maintenir la dynamique en faveur de la mise en œuvre du SRS, en adaptant les recommandations au contexte du pays en matière de ressources et de systèmes.</w:t>
      </w:r>
    </w:p>
    <w:p w14:paraId="768ABBDD" w14:textId="167389A8" w:rsidR="00963147" w:rsidRPr="00C208F5" w:rsidRDefault="00963147" w:rsidP="0084665E">
      <w:pPr>
        <w:rPr>
          <w:lang w:val="fr-ML"/>
        </w:rPr>
      </w:pPr>
    </w:p>
    <w:p w14:paraId="24BE634D" w14:textId="77777777" w:rsidR="00963147" w:rsidRPr="00C208F5" w:rsidRDefault="00963147">
      <w:pPr>
        <w:rPr>
          <w:lang w:val="fr-ML"/>
        </w:rPr>
      </w:pPr>
    </w:p>
    <w:p w14:paraId="4B347841" w14:textId="77777777" w:rsidR="00802BE5" w:rsidRPr="00C208F5" w:rsidRDefault="00802BE5">
      <w:pPr>
        <w:rPr>
          <w:b/>
          <w:bCs/>
          <w:lang w:val="fr-ML"/>
        </w:rPr>
      </w:pPr>
      <w:r w:rsidRPr="4887D5E5">
        <w:rPr>
          <w:b/>
          <w:bCs/>
        </w:rPr>
        <w:br w:type="page"/>
      </w:r>
    </w:p>
    <w:p w14:paraId="6B0BCCEB" w14:textId="5514DFE7" w:rsidR="00963147" w:rsidRPr="00D0614B" w:rsidRDefault="00963147">
      <w:pPr>
        <w:rPr>
          <w:b/>
          <w:bCs/>
          <w:smallCaps/>
          <w:sz w:val="24"/>
          <w:szCs w:val="24"/>
        </w:rPr>
      </w:pPr>
      <w:r w:rsidRPr="4887D5E5">
        <w:rPr>
          <w:b/>
          <w:bCs/>
          <w:smallCaps/>
          <w:sz w:val="24"/>
          <w:szCs w:val="24"/>
        </w:rPr>
        <w:lastRenderedPageBreak/>
        <w:t xml:space="preserve">Annexe </w:t>
      </w:r>
      <w:r w:rsidR="00D0614B" w:rsidRPr="4887D5E5">
        <w:rPr>
          <w:b/>
          <w:bCs/>
          <w:smallCaps/>
          <w:sz w:val="24"/>
          <w:szCs w:val="24"/>
        </w:rPr>
        <w:t>:</w:t>
      </w:r>
    </w:p>
    <w:tbl>
      <w:tblPr>
        <w:tblW w:w="9410" w:type="dxa"/>
        <w:tblInd w:w="98" w:type="dxa"/>
        <w:tblLayout w:type="fixed"/>
        <w:tblCellMar>
          <w:left w:w="0" w:type="dxa"/>
          <w:right w:w="0" w:type="dxa"/>
        </w:tblCellMar>
        <w:tblLook w:val="01E0" w:firstRow="1" w:lastRow="1" w:firstColumn="1" w:lastColumn="1" w:noHBand="0" w:noVBand="0"/>
      </w:tblPr>
      <w:tblGrid>
        <w:gridCol w:w="1782"/>
        <w:gridCol w:w="1724"/>
        <w:gridCol w:w="1862"/>
        <w:gridCol w:w="1861"/>
        <w:gridCol w:w="2181"/>
      </w:tblGrid>
      <w:tr w:rsidR="00802BE5" w:rsidRPr="00C208F5" w14:paraId="575A8FD3" w14:textId="77777777" w:rsidTr="4887D5E5">
        <w:trPr>
          <w:trHeight w:hRule="exact" w:val="800"/>
        </w:trPr>
        <w:tc>
          <w:tcPr>
            <w:tcW w:w="9410" w:type="dxa"/>
            <w:gridSpan w:val="5"/>
            <w:tcBorders>
              <w:top w:val="single" w:sz="7" w:space="0" w:color="000000" w:themeColor="text1"/>
              <w:left w:val="single" w:sz="8" w:space="0" w:color="000000" w:themeColor="text1"/>
              <w:bottom w:val="single" w:sz="9" w:space="0" w:color="000000" w:themeColor="text1"/>
              <w:right w:val="single" w:sz="8" w:space="0" w:color="000000" w:themeColor="text1"/>
            </w:tcBorders>
          </w:tcPr>
          <w:p w14:paraId="52530E5B" w14:textId="77777777" w:rsidR="00802BE5" w:rsidRPr="00C208F5" w:rsidRDefault="00802BE5" w:rsidP="004074DB">
            <w:pPr>
              <w:pStyle w:val="TableParagraph"/>
              <w:spacing w:line="362" w:lineRule="auto"/>
              <w:ind w:left="98" w:right="315"/>
              <w:rPr>
                <w:rFonts w:eastAsia="Times New Roman" w:cs="Times New Roman"/>
                <w:sz w:val="20"/>
                <w:szCs w:val="20"/>
                <w:lang w:val="fr-ML"/>
              </w:rPr>
            </w:pPr>
            <w:r w:rsidRPr="4887D5E5">
              <w:rPr>
                <w:b/>
                <w:bCs/>
                <w:spacing w:val="-1"/>
                <w:sz w:val="20"/>
                <w:szCs w:val="20"/>
                <w:lang w:val="fr-ML"/>
              </w:rPr>
              <w:t>Tableau</w:t>
            </w:r>
            <w:r w:rsidRPr="4887D5E5">
              <w:rPr>
                <w:b/>
                <w:bCs/>
                <w:sz w:val="20"/>
                <w:szCs w:val="20"/>
                <w:lang w:val="fr-ML"/>
              </w:rPr>
              <w:t xml:space="preserve"> 1 : </w:t>
            </w:r>
            <w:r w:rsidRPr="00C208F5">
              <w:rPr>
                <w:spacing w:val="-1"/>
                <w:sz w:val="20"/>
                <w:szCs w:val="20"/>
                <w:lang w:val="fr-ML"/>
              </w:rPr>
              <w:t xml:space="preserve">Principaux informateurs interrogés </w:t>
            </w:r>
            <w:r w:rsidRPr="00C208F5">
              <w:rPr>
                <w:sz w:val="20"/>
                <w:szCs w:val="20"/>
                <w:lang w:val="fr-ML"/>
              </w:rPr>
              <w:t xml:space="preserve">lors de </w:t>
            </w:r>
            <w:r w:rsidRPr="00C208F5">
              <w:rPr>
                <w:spacing w:val="-1"/>
                <w:sz w:val="20"/>
                <w:szCs w:val="20"/>
                <w:lang w:val="fr-ML"/>
              </w:rPr>
              <w:t xml:space="preserve">l'évaluation </w:t>
            </w:r>
            <w:r w:rsidRPr="00C208F5">
              <w:rPr>
                <w:sz w:val="20"/>
                <w:szCs w:val="20"/>
                <w:lang w:val="fr-ML"/>
              </w:rPr>
              <w:t xml:space="preserve">de référence </w:t>
            </w:r>
            <w:r w:rsidRPr="00C208F5">
              <w:rPr>
                <w:spacing w:val="-1"/>
                <w:sz w:val="20"/>
                <w:szCs w:val="20"/>
                <w:lang w:val="fr-ML"/>
              </w:rPr>
              <w:t xml:space="preserve">des systèmes de surveillance de la mortalité, </w:t>
            </w:r>
            <w:r w:rsidRPr="00C208F5">
              <w:rPr>
                <w:sz w:val="20"/>
                <w:szCs w:val="20"/>
                <w:lang w:val="fr-ML"/>
              </w:rPr>
              <w:t>Zambie 2023</w:t>
            </w:r>
          </w:p>
        </w:tc>
      </w:tr>
      <w:tr w:rsidR="00802BE5" w:rsidRPr="00861363" w14:paraId="2E317A60" w14:textId="77777777" w:rsidTr="4887D5E5">
        <w:trPr>
          <w:trHeight w:hRule="exact" w:val="463"/>
        </w:trPr>
        <w:tc>
          <w:tcPr>
            <w:tcW w:w="1782" w:type="dxa"/>
            <w:tcBorders>
              <w:top w:val="single" w:sz="9" w:space="0" w:color="000000" w:themeColor="text1"/>
              <w:left w:val="single" w:sz="8" w:space="0" w:color="000000" w:themeColor="text1"/>
              <w:bottom w:val="single" w:sz="9" w:space="0" w:color="000000" w:themeColor="text1"/>
              <w:right w:val="single" w:sz="8" w:space="0" w:color="000000" w:themeColor="text1"/>
            </w:tcBorders>
          </w:tcPr>
          <w:p w14:paraId="484C7887" w14:textId="77777777" w:rsidR="00802BE5" w:rsidRPr="00861363" w:rsidRDefault="00802BE5" w:rsidP="00861363">
            <w:pPr>
              <w:pStyle w:val="TableParagraph"/>
              <w:ind w:left="98"/>
              <w:rPr>
                <w:rFonts w:eastAsia="Times New Roman" w:cs="Times New Roman"/>
                <w:sz w:val="20"/>
                <w:szCs w:val="20"/>
              </w:rPr>
            </w:pPr>
            <w:r w:rsidRPr="4887D5E5">
              <w:rPr>
                <w:b/>
                <w:bCs/>
                <w:spacing w:val="-1"/>
                <w:sz w:val="20"/>
                <w:szCs w:val="20"/>
              </w:rPr>
              <w:t>Institution</w:t>
            </w:r>
          </w:p>
        </w:tc>
        <w:tc>
          <w:tcPr>
            <w:tcW w:w="1724" w:type="dxa"/>
            <w:tcBorders>
              <w:top w:val="single" w:sz="9" w:space="0" w:color="000000" w:themeColor="text1"/>
              <w:left w:val="single" w:sz="8" w:space="0" w:color="000000" w:themeColor="text1"/>
              <w:bottom w:val="single" w:sz="9" w:space="0" w:color="000000" w:themeColor="text1"/>
              <w:right w:val="single" w:sz="8" w:space="0" w:color="000000" w:themeColor="text1"/>
            </w:tcBorders>
          </w:tcPr>
          <w:p w14:paraId="38B8BBF1" w14:textId="77777777" w:rsidR="00802BE5" w:rsidRPr="00861363" w:rsidRDefault="00802BE5" w:rsidP="00861363">
            <w:pPr>
              <w:pStyle w:val="TableParagraph"/>
              <w:ind w:left="96"/>
              <w:rPr>
                <w:rFonts w:eastAsia="Times New Roman" w:cs="Times New Roman"/>
                <w:sz w:val="20"/>
                <w:szCs w:val="20"/>
              </w:rPr>
            </w:pPr>
            <w:r w:rsidRPr="4887D5E5">
              <w:rPr>
                <w:b/>
                <w:bCs/>
                <w:sz w:val="20"/>
                <w:szCs w:val="20"/>
              </w:rPr>
              <w:t xml:space="preserve">Niveau </w:t>
            </w:r>
            <w:r w:rsidRPr="4887D5E5">
              <w:rPr>
                <w:b/>
                <w:bCs/>
                <w:spacing w:val="-1"/>
                <w:sz w:val="20"/>
                <w:szCs w:val="20"/>
              </w:rPr>
              <w:t>national</w:t>
            </w:r>
          </w:p>
        </w:tc>
        <w:tc>
          <w:tcPr>
            <w:tcW w:w="1862" w:type="dxa"/>
            <w:tcBorders>
              <w:top w:val="single" w:sz="9" w:space="0" w:color="000000" w:themeColor="text1"/>
              <w:left w:val="single" w:sz="8" w:space="0" w:color="000000" w:themeColor="text1"/>
              <w:bottom w:val="single" w:sz="9" w:space="0" w:color="000000" w:themeColor="text1"/>
              <w:right w:val="single" w:sz="8" w:space="0" w:color="000000" w:themeColor="text1"/>
            </w:tcBorders>
          </w:tcPr>
          <w:p w14:paraId="220EF1C8" w14:textId="77777777" w:rsidR="00802BE5" w:rsidRPr="00861363" w:rsidRDefault="00802BE5" w:rsidP="00861363">
            <w:pPr>
              <w:pStyle w:val="TableParagraph"/>
              <w:ind w:left="98" w:right="685"/>
              <w:rPr>
                <w:rFonts w:eastAsia="Times New Roman" w:cs="Times New Roman"/>
                <w:sz w:val="20"/>
                <w:szCs w:val="20"/>
              </w:rPr>
            </w:pPr>
            <w:r w:rsidRPr="4887D5E5">
              <w:rPr>
                <w:b/>
                <w:bCs/>
                <w:sz w:val="20"/>
                <w:szCs w:val="20"/>
              </w:rPr>
              <w:t xml:space="preserve">Niveau </w:t>
            </w:r>
            <w:r w:rsidRPr="4887D5E5">
              <w:rPr>
                <w:b/>
                <w:bCs/>
                <w:w w:val="95"/>
                <w:sz w:val="20"/>
                <w:szCs w:val="20"/>
              </w:rPr>
              <w:t>provincial</w:t>
            </w:r>
          </w:p>
        </w:tc>
        <w:tc>
          <w:tcPr>
            <w:tcW w:w="1861" w:type="dxa"/>
            <w:tcBorders>
              <w:top w:val="single" w:sz="9" w:space="0" w:color="000000" w:themeColor="text1"/>
              <w:left w:val="single" w:sz="8" w:space="0" w:color="000000" w:themeColor="text1"/>
              <w:bottom w:val="single" w:sz="9" w:space="0" w:color="000000" w:themeColor="text1"/>
              <w:right w:val="single" w:sz="8" w:space="0" w:color="000000" w:themeColor="text1"/>
            </w:tcBorders>
          </w:tcPr>
          <w:p w14:paraId="325E4858" w14:textId="77777777" w:rsidR="00802BE5" w:rsidRPr="00861363" w:rsidRDefault="00802BE5" w:rsidP="00861363">
            <w:pPr>
              <w:pStyle w:val="TableParagraph"/>
              <w:ind w:left="97"/>
              <w:rPr>
                <w:rFonts w:eastAsia="Times New Roman" w:cs="Times New Roman"/>
                <w:sz w:val="20"/>
                <w:szCs w:val="20"/>
              </w:rPr>
            </w:pPr>
            <w:r w:rsidRPr="4887D5E5">
              <w:rPr>
                <w:b/>
                <w:bCs/>
                <w:sz w:val="20"/>
                <w:szCs w:val="20"/>
              </w:rPr>
              <w:t xml:space="preserve">Niveau </w:t>
            </w:r>
            <w:r w:rsidRPr="4887D5E5">
              <w:rPr>
                <w:b/>
                <w:bCs/>
                <w:spacing w:val="-1"/>
                <w:sz w:val="20"/>
                <w:szCs w:val="20"/>
              </w:rPr>
              <w:t>du district</w:t>
            </w:r>
          </w:p>
        </w:tc>
        <w:tc>
          <w:tcPr>
            <w:tcW w:w="2181" w:type="dxa"/>
            <w:tcBorders>
              <w:top w:val="single" w:sz="9" w:space="0" w:color="000000" w:themeColor="text1"/>
              <w:left w:val="single" w:sz="8" w:space="0" w:color="000000" w:themeColor="text1"/>
              <w:bottom w:val="single" w:sz="9" w:space="0" w:color="000000" w:themeColor="text1"/>
              <w:right w:val="single" w:sz="8" w:space="0" w:color="000000" w:themeColor="text1"/>
            </w:tcBorders>
          </w:tcPr>
          <w:p w14:paraId="660A24C5" w14:textId="77777777" w:rsidR="00802BE5" w:rsidRPr="00861363" w:rsidRDefault="00802BE5" w:rsidP="00861363">
            <w:pPr>
              <w:pStyle w:val="TableParagraph"/>
              <w:ind w:left="96"/>
              <w:rPr>
                <w:rFonts w:eastAsia="Times New Roman" w:cs="Times New Roman"/>
                <w:sz w:val="20"/>
                <w:szCs w:val="20"/>
              </w:rPr>
            </w:pPr>
            <w:r w:rsidRPr="4887D5E5">
              <w:rPr>
                <w:b/>
                <w:bCs/>
                <w:sz w:val="20"/>
                <w:szCs w:val="20"/>
              </w:rPr>
              <w:t>Établissement de santé</w:t>
            </w:r>
          </w:p>
        </w:tc>
      </w:tr>
      <w:tr w:rsidR="00802BE5" w:rsidRPr="00C208F5" w14:paraId="36BF2CD6" w14:textId="77777777" w:rsidTr="4887D5E5">
        <w:trPr>
          <w:trHeight w:hRule="exact" w:val="8599"/>
        </w:trPr>
        <w:tc>
          <w:tcPr>
            <w:tcW w:w="1782" w:type="dxa"/>
            <w:tcBorders>
              <w:top w:val="single" w:sz="9" w:space="0" w:color="000000" w:themeColor="text1"/>
              <w:left w:val="single" w:sz="8" w:space="0" w:color="000000" w:themeColor="text1"/>
              <w:bottom w:val="single" w:sz="9" w:space="0" w:color="000000" w:themeColor="text1"/>
              <w:right w:val="single" w:sz="8" w:space="0" w:color="000000" w:themeColor="text1"/>
            </w:tcBorders>
          </w:tcPr>
          <w:p w14:paraId="3B30826D" w14:textId="77777777" w:rsidR="00802BE5" w:rsidRPr="00861363" w:rsidRDefault="00802BE5" w:rsidP="004074DB">
            <w:pPr>
              <w:pStyle w:val="TableParagraph"/>
              <w:spacing w:before="92"/>
              <w:ind w:left="99"/>
              <w:rPr>
                <w:rFonts w:eastAsia="Times New Roman" w:cs="Times New Roman"/>
                <w:sz w:val="20"/>
                <w:szCs w:val="20"/>
              </w:rPr>
            </w:pPr>
            <w:r w:rsidRPr="00861363">
              <w:rPr>
                <w:spacing w:val="-1"/>
                <w:sz w:val="20"/>
                <w:szCs w:val="20"/>
              </w:rPr>
              <w:t xml:space="preserve">Ministère </w:t>
            </w:r>
            <w:r w:rsidRPr="00861363">
              <w:rPr>
                <w:sz w:val="20"/>
                <w:szCs w:val="20"/>
              </w:rPr>
              <w:t xml:space="preserve">de la </w:t>
            </w:r>
            <w:r w:rsidRPr="00861363">
              <w:rPr>
                <w:spacing w:val="-1"/>
                <w:sz w:val="20"/>
                <w:szCs w:val="20"/>
              </w:rPr>
              <w:t>Santé</w:t>
            </w:r>
          </w:p>
        </w:tc>
        <w:tc>
          <w:tcPr>
            <w:tcW w:w="1724" w:type="dxa"/>
            <w:tcBorders>
              <w:top w:val="single" w:sz="9" w:space="0" w:color="000000" w:themeColor="text1"/>
              <w:left w:val="single" w:sz="8" w:space="0" w:color="000000" w:themeColor="text1"/>
              <w:bottom w:val="single" w:sz="9" w:space="0" w:color="000000" w:themeColor="text1"/>
              <w:right w:val="single" w:sz="8" w:space="0" w:color="000000" w:themeColor="text1"/>
            </w:tcBorders>
          </w:tcPr>
          <w:p w14:paraId="4F08695C" w14:textId="77777777" w:rsidR="00802BE5" w:rsidRPr="00C208F5" w:rsidRDefault="00802BE5" w:rsidP="004074DB">
            <w:pPr>
              <w:pStyle w:val="TableParagraph"/>
              <w:spacing w:before="93" w:line="360" w:lineRule="auto"/>
              <w:ind w:left="97" w:right="90"/>
              <w:rPr>
                <w:rFonts w:eastAsia="Times New Roman" w:cs="Times New Roman"/>
                <w:sz w:val="20"/>
                <w:szCs w:val="20"/>
                <w:lang w:val="fr-ML"/>
              </w:rPr>
            </w:pPr>
            <w:r w:rsidRPr="00C208F5">
              <w:rPr>
                <w:spacing w:val="-1"/>
                <w:sz w:val="20"/>
                <w:szCs w:val="20"/>
                <w:lang w:val="fr-ML"/>
              </w:rPr>
              <w:t>Directeur (</w:t>
            </w:r>
            <w:r w:rsidRPr="00C208F5">
              <w:rPr>
                <w:sz w:val="20"/>
                <w:szCs w:val="20"/>
                <w:lang w:val="fr-ML"/>
              </w:rPr>
              <w:t xml:space="preserve">santé </w:t>
            </w:r>
            <w:r w:rsidRPr="00C208F5">
              <w:rPr>
                <w:spacing w:val="-1"/>
                <w:sz w:val="20"/>
                <w:szCs w:val="20"/>
                <w:lang w:val="fr-ML"/>
              </w:rPr>
              <w:t>publique</w:t>
            </w:r>
            <w:r w:rsidRPr="00C208F5">
              <w:rPr>
                <w:sz w:val="20"/>
                <w:szCs w:val="20"/>
                <w:lang w:val="fr-ML"/>
              </w:rPr>
              <w:t xml:space="preserve">, </w:t>
            </w:r>
            <w:r w:rsidRPr="00C208F5">
              <w:rPr>
                <w:spacing w:val="-1"/>
                <w:sz w:val="20"/>
                <w:szCs w:val="20"/>
                <w:lang w:val="fr-ML"/>
              </w:rPr>
              <w:t xml:space="preserve">soins </w:t>
            </w:r>
            <w:r w:rsidRPr="00C208F5">
              <w:rPr>
                <w:sz w:val="20"/>
                <w:szCs w:val="20"/>
                <w:lang w:val="fr-ML"/>
              </w:rPr>
              <w:t>cliniques</w:t>
            </w:r>
            <w:r w:rsidRPr="00C208F5">
              <w:rPr>
                <w:spacing w:val="-1"/>
                <w:sz w:val="20"/>
                <w:szCs w:val="20"/>
                <w:lang w:val="fr-ML"/>
              </w:rPr>
              <w:t xml:space="preserve">, </w:t>
            </w:r>
            <w:r w:rsidRPr="00C208F5">
              <w:rPr>
                <w:sz w:val="20"/>
                <w:szCs w:val="20"/>
                <w:lang w:val="fr-ML"/>
              </w:rPr>
              <w:t xml:space="preserve">suivi et évaluation), </w:t>
            </w:r>
            <w:r w:rsidRPr="00C208F5">
              <w:rPr>
                <w:spacing w:val="-1"/>
                <w:sz w:val="20"/>
                <w:szCs w:val="20"/>
                <w:lang w:val="fr-ML"/>
              </w:rPr>
              <w:t xml:space="preserve">responsables </w:t>
            </w:r>
            <w:r w:rsidRPr="00C208F5">
              <w:rPr>
                <w:sz w:val="20"/>
                <w:szCs w:val="20"/>
                <w:lang w:val="fr-ML"/>
              </w:rPr>
              <w:t xml:space="preserve">de programme </w:t>
            </w:r>
            <w:r w:rsidRPr="00C208F5">
              <w:rPr>
                <w:spacing w:val="-1"/>
                <w:sz w:val="20"/>
                <w:szCs w:val="20"/>
                <w:lang w:val="fr-ML"/>
              </w:rPr>
              <w:t xml:space="preserve">(VIH, paludisme, maladies évitables par la vaccination (VPD), surveillance </w:t>
            </w:r>
            <w:r w:rsidRPr="00C208F5">
              <w:rPr>
                <w:sz w:val="20"/>
                <w:szCs w:val="20"/>
                <w:lang w:val="fr-ML"/>
              </w:rPr>
              <w:t xml:space="preserve">et </w:t>
            </w:r>
            <w:r w:rsidRPr="00C208F5">
              <w:rPr>
                <w:spacing w:val="-1"/>
                <w:sz w:val="20"/>
                <w:szCs w:val="20"/>
                <w:lang w:val="fr-ML"/>
              </w:rPr>
              <w:t xml:space="preserve">réponse </w:t>
            </w:r>
            <w:r w:rsidRPr="00C208F5">
              <w:rPr>
                <w:sz w:val="20"/>
                <w:szCs w:val="20"/>
                <w:lang w:val="fr-ML"/>
              </w:rPr>
              <w:t xml:space="preserve">intégrées </w:t>
            </w:r>
            <w:r w:rsidRPr="00C208F5">
              <w:rPr>
                <w:spacing w:val="-1"/>
                <w:sz w:val="20"/>
                <w:szCs w:val="20"/>
                <w:lang w:val="fr-ML"/>
              </w:rPr>
              <w:t xml:space="preserve">aux maladies, surveillance </w:t>
            </w:r>
            <w:r w:rsidRPr="00C208F5">
              <w:rPr>
                <w:sz w:val="20"/>
                <w:szCs w:val="20"/>
                <w:lang w:val="fr-ML"/>
              </w:rPr>
              <w:t xml:space="preserve">et </w:t>
            </w:r>
            <w:r w:rsidRPr="00C208F5">
              <w:rPr>
                <w:spacing w:val="-1"/>
                <w:sz w:val="20"/>
                <w:szCs w:val="20"/>
                <w:lang w:val="fr-ML"/>
              </w:rPr>
              <w:t xml:space="preserve">réponse aux décès maternels </w:t>
            </w:r>
            <w:r w:rsidRPr="00C208F5">
              <w:rPr>
                <w:sz w:val="20"/>
                <w:szCs w:val="20"/>
                <w:lang w:val="fr-ML"/>
              </w:rPr>
              <w:t xml:space="preserve">et </w:t>
            </w:r>
            <w:r w:rsidRPr="00C208F5">
              <w:rPr>
                <w:spacing w:val="-1"/>
                <w:sz w:val="20"/>
                <w:szCs w:val="20"/>
                <w:lang w:val="fr-ML"/>
              </w:rPr>
              <w:t xml:space="preserve">périnataux), agents de suivi et </w:t>
            </w:r>
            <w:r w:rsidRPr="00C208F5">
              <w:rPr>
                <w:sz w:val="20"/>
                <w:szCs w:val="20"/>
                <w:lang w:val="fr-ML"/>
              </w:rPr>
              <w:t>d'évaluation</w:t>
            </w:r>
          </w:p>
          <w:p w14:paraId="10BEDF7E" w14:textId="77777777" w:rsidR="00802BE5" w:rsidRPr="00861363" w:rsidRDefault="00802BE5" w:rsidP="004074DB">
            <w:pPr>
              <w:pStyle w:val="TableParagraph"/>
              <w:spacing w:before="4"/>
              <w:ind w:left="97"/>
              <w:rPr>
                <w:rFonts w:eastAsia="Times New Roman" w:cs="Times New Roman"/>
                <w:sz w:val="20"/>
                <w:szCs w:val="20"/>
              </w:rPr>
            </w:pPr>
            <w:r w:rsidRPr="4887D5E5">
              <w:rPr>
                <w:sz w:val="20"/>
                <w:szCs w:val="20"/>
              </w:rPr>
              <w:t>Responsables des TIC</w:t>
            </w:r>
          </w:p>
        </w:tc>
        <w:tc>
          <w:tcPr>
            <w:tcW w:w="1862" w:type="dxa"/>
            <w:tcBorders>
              <w:top w:val="single" w:sz="9" w:space="0" w:color="000000" w:themeColor="text1"/>
              <w:left w:val="single" w:sz="8" w:space="0" w:color="000000" w:themeColor="text1"/>
              <w:bottom w:val="single" w:sz="9" w:space="0" w:color="000000" w:themeColor="text1"/>
              <w:right w:val="single" w:sz="8" w:space="0" w:color="000000" w:themeColor="text1"/>
            </w:tcBorders>
          </w:tcPr>
          <w:p w14:paraId="05909BED" w14:textId="77777777" w:rsidR="00802BE5" w:rsidRPr="00C208F5" w:rsidRDefault="00802BE5" w:rsidP="004074DB">
            <w:pPr>
              <w:pStyle w:val="TableParagraph"/>
              <w:spacing w:before="93" w:line="359" w:lineRule="auto"/>
              <w:ind w:left="98" w:right="86"/>
              <w:rPr>
                <w:rFonts w:eastAsia="Times New Roman" w:cs="Times New Roman"/>
                <w:sz w:val="20"/>
                <w:szCs w:val="20"/>
                <w:lang w:val="fr-ML"/>
              </w:rPr>
            </w:pPr>
            <w:r w:rsidRPr="00C208F5">
              <w:rPr>
                <w:sz w:val="20"/>
                <w:szCs w:val="20"/>
                <w:lang w:val="fr-ML"/>
              </w:rPr>
              <w:t xml:space="preserve">Directeurs </w:t>
            </w:r>
            <w:r w:rsidRPr="00C208F5">
              <w:rPr>
                <w:spacing w:val="-1"/>
                <w:sz w:val="20"/>
                <w:szCs w:val="20"/>
                <w:lang w:val="fr-ML"/>
              </w:rPr>
              <w:t xml:space="preserve">provinciaux </w:t>
            </w:r>
            <w:r w:rsidRPr="00C208F5">
              <w:rPr>
                <w:sz w:val="20"/>
                <w:szCs w:val="20"/>
                <w:lang w:val="fr-ML"/>
              </w:rPr>
              <w:t xml:space="preserve">de </w:t>
            </w:r>
            <w:r w:rsidRPr="00C208F5">
              <w:rPr>
                <w:spacing w:val="-1"/>
                <w:sz w:val="20"/>
                <w:szCs w:val="20"/>
                <w:lang w:val="fr-ML"/>
              </w:rPr>
              <w:t xml:space="preserve">la santé, chargés de programme </w:t>
            </w:r>
            <w:r w:rsidRPr="00C208F5">
              <w:rPr>
                <w:sz w:val="20"/>
                <w:szCs w:val="20"/>
                <w:lang w:val="fr-ML"/>
              </w:rPr>
              <w:t xml:space="preserve">(par exemple, </w:t>
            </w:r>
            <w:r w:rsidRPr="00C208F5">
              <w:rPr>
                <w:spacing w:val="-1"/>
                <w:sz w:val="20"/>
                <w:szCs w:val="20"/>
                <w:lang w:val="fr-ML"/>
              </w:rPr>
              <w:t>VIH, MPDSR</w:t>
            </w:r>
          </w:p>
          <w:p w14:paraId="17BA7A96" w14:textId="77777777" w:rsidR="00802BE5" w:rsidRPr="00C208F5" w:rsidRDefault="00802BE5" w:rsidP="004074DB">
            <w:pPr>
              <w:pStyle w:val="TableParagraph"/>
              <w:spacing w:before="4" w:line="359" w:lineRule="auto"/>
              <w:ind w:left="98" w:right="1154"/>
              <w:rPr>
                <w:rFonts w:eastAsia="Times New Roman" w:cs="Times New Roman"/>
                <w:sz w:val="20"/>
                <w:szCs w:val="20"/>
                <w:lang w:val="fr-ML"/>
              </w:rPr>
            </w:pPr>
            <w:r w:rsidRPr="00C208F5">
              <w:rPr>
                <w:sz w:val="20"/>
                <w:szCs w:val="20"/>
                <w:lang w:val="fr-ML"/>
              </w:rPr>
              <w:t xml:space="preserve">etc. </w:t>
            </w:r>
            <w:r w:rsidRPr="00C208F5">
              <w:rPr>
                <w:spacing w:val="-1"/>
                <w:sz w:val="20"/>
                <w:szCs w:val="20"/>
                <w:lang w:val="fr-ML"/>
              </w:rPr>
              <w:t>Santé</w:t>
            </w:r>
          </w:p>
          <w:p w14:paraId="67FD9BC4" w14:textId="77777777" w:rsidR="00802BE5" w:rsidRPr="00C208F5" w:rsidRDefault="00802BE5" w:rsidP="004074DB">
            <w:pPr>
              <w:pStyle w:val="TableParagraph"/>
              <w:spacing w:before="6" w:line="359" w:lineRule="auto"/>
              <w:ind w:left="98" w:right="640"/>
              <w:rPr>
                <w:rFonts w:eastAsia="Times New Roman" w:cs="Times New Roman"/>
                <w:sz w:val="20"/>
                <w:szCs w:val="20"/>
                <w:lang w:val="fr-ML"/>
              </w:rPr>
            </w:pPr>
            <w:r w:rsidRPr="00C208F5">
              <w:rPr>
                <w:spacing w:val="-1"/>
                <w:sz w:val="20"/>
                <w:szCs w:val="20"/>
                <w:lang w:val="fr-ML"/>
              </w:rPr>
              <w:t>Responsables de l'information Responsable de la surveillance</w:t>
            </w:r>
          </w:p>
          <w:p w14:paraId="074D8ECA" w14:textId="77777777" w:rsidR="00802BE5" w:rsidRPr="00861363" w:rsidRDefault="00802BE5" w:rsidP="004074DB">
            <w:pPr>
              <w:pStyle w:val="TableParagraph"/>
              <w:spacing w:before="4"/>
              <w:ind w:left="98"/>
              <w:rPr>
                <w:rFonts w:eastAsia="Times New Roman" w:cs="Times New Roman"/>
                <w:sz w:val="20"/>
                <w:szCs w:val="20"/>
              </w:rPr>
            </w:pPr>
            <w:r w:rsidRPr="4887D5E5">
              <w:rPr>
                <w:sz w:val="20"/>
                <w:szCs w:val="20"/>
              </w:rPr>
              <w:t>Responsables des TIC</w:t>
            </w:r>
          </w:p>
        </w:tc>
        <w:tc>
          <w:tcPr>
            <w:tcW w:w="1861" w:type="dxa"/>
            <w:tcBorders>
              <w:top w:val="single" w:sz="9" w:space="0" w:color="000000" w:themeColor="text1"/>
              <w:left w:val="single" w:sz="8" w:space="0" w:color="000000" w:themeColor="text1"/>
              <w:bottom w:val="single" w:sz="9" w:space="0" w:color="000000" w:themeColor="text1"/>
              <w:right w:val="single" w:sz="8" w:space="0" w:color="000000" w:themeColor="text1"/>
            </w:tcBorders>
          </w:tcPr>
          <w:p w14:paraId="456B9407" w14:textId="77777777" w:rsidR="00802BE5" w:rsidRPr="00C208F5" w:rsidRDefault="00802BE5" w:rsidP="004074DB">
            <w:pPr>
              <w:pStyle w:val="TableParagraph"/>
              <w:spacing w:before="93" w:line="358" w:lineRule="auto"/>
              <w:ind w:left="97" w:right="256"/>
              <w:rPr>
                <w:rFonts w:eastAsia="Times New Roman" w:cs="Times New Roman"/>
                <w:sz w:val="20"/>
                <w:szCs w:val="20"/>
                <w:lang w:val="fr-ML"/>
              </w:rPr>
            </w:pPr>
            <w:r w:rsidRPr="00C208F5">
              <w:rPr>
                <w:sz w:val="20"/>
                <w:szCs w:val="20"/>
                <w:lang w:val="fr-ML"/>
              </w:rPr>
              <w:t xml:space="preserve">Directeurs </w:t>
            </w:r>
            <w:r w:rsidRPr="00C208F5">
              <w:rPr>
                <w:spacing w:val="-1"/>
                <w:sz w:val="20"/>
                <w:szCs w:val="20"/>
                <w:lang w:val="fr-ML"/>
              </w:rPr>
              <w:t xml:space="preserve">provinciaux </w:t>
            </w:r>
            <w:r w:rsidRPr="00C208F5">
              <w:rPr>
                <w:sz w:val="20"/>
                <w:szCs w:val="20"/>
                <w:lang w:val="fr-ML"/>
              </w:rPr>
              <w:t>de la santé,</w:t>
            </w:r>
          </w:p>
          <w:p w14:paraId="4B1AB6AB" w14:textId="77777777" w:rsidR="00802BE5" w:rsidRPr="00C208F5" w:rsidRDefault="00802BE5" w:rsidP="004074DB">
            <w:pPr>
              <w:pStyle w:val="TableParagraph"/>
              <w:spacing w:before="7" w:line="360" w:lineRule="auto"/>
              <w:ind w:left="97" w:right="281"/>
              <w:rPr>
                <w:rFonts w:eastAsia="Times New Roman" w:cs="Times New Roman"/>
                <w:sz w:val="20"/>
                <w:szCs w:val="20"/>
                <w:lang w:val="fr-ML"/>
              </w:rPr>
            </w:pPr>
            <w:r w:rsidRPr="00C208F5">
              <w:rPr>
                <w:sz w:val="20"/>
                <w:szCs w:val="20"/>
                <w:lang w:val="fr-ML"/>
              </w:rPr>
              <w:t xml:space="preserve">Agents </w:t>
            </w:r>
            <w:r w:rsidRPr="00C208F5">
              <w:rPr>
                <w:spacing w:val="-1"/>
                <w:sz w:val="20"/>
                <w:szCs w:val="20"/>
                <w:lang w:val="fr-ML"/>
              </w:rPr>
              <w:t>d'information sanitaire</w:t>
            </w:r>
            <w:r w:rsidRPr="00C208F5">
              <w:rPr>
                <w:sz w:val="20"/>
                <w:szCs w:val="20"/>
                <w:lang w:val="fr-ML"/>
              </w:rPr>
              <w:t xml:space="preserve">, Chargé </w:t>
            </w:r>
            <w:r w:rsidRPr="00C208F5">
              <w:rPr>
                <w:spacing w:val="-1"/>
                <w:sz w:val="20"/>
                <w:szCs w:val="20"/>
                <w:lang w:val="fr-ML"/>
              </w:rPr>
              <w:t xml:space="preserve">de programme </w:t>
            </w:r>
            <w:r w:rsidRPr="00C208F5">
              <w:rPr>
                <w:sz w:val="20"/>
                <w:szCs w:val="20"/>
                <w:lang w:val="fr-ML"/>
              </w:rPr>
              <w:t>(surveillance)</w:t>
            </w:r>
          </w:p>
          <w:p w14:paraId="1A66B83F" w14:textId="77777777" w:rsidR="00802BE5" w:rsidRPr="00C208F5" w:rsidRDefault="00802BE5" w:rsidP="687947B3">
            <w:pPr>
              <w:pStyle w:val="TableParagraph"/>
              <w:spacing w:before="5" w:line="359" w:lineRule="auto"/>
              <w:ind w:left="97" w:right="704"/>
              <w:rPr>
                <w:rFonts w:eastAsia="Times New Roman" w:cs="Times New Roman"/>
                <w:sz w:val="20"/>
                <w:szCs w:val="20"/>
                <w:lang w:val="fr-ML"/>
              </w:rPr>
            </w:pPr>
            <w:r w:rsidRPr="00C208F5">
              <w:rPr>
                <w:sz w:val="20"/>
                <w:szCs w:val="20"/>
                <w:lang w:val="fr-ML"/>
              </w:rPr>
              <w:t xml:space="preserve">Responsables de </w:t>
            </w:r>
            <w:r w:rsidRPr="00C208F5">
              <w:rPr>
                <w:spacing w:val="-1"/>
                <w:sz w:val="20"/>
                <w:szCs w:val="20"/>
                <w:lang w:val="fr-ML"/>
              </w:rPr>
              <w:t>l'information sanitaire</w:t>
            </w:r>
          </w:p>
          <w:p w14:paraId="0C8C4513" w14:textId="0678DE1B" w:rsidR="00802BE5" w:rsidRPr="00C208F5" w:rsidRDefault="00802BE5" w:rsidP="687947B3">
            <w:pPr>
              <w:pStyle w:val="TableParagraph"/>
              <w:spacing w:before="5" w:line="359" w:lineRule="auto"/>
              <w:ind w:left="97" w:right="704"/>
              <w:rPr>
                <w:sz w:val="20"/>
                <w:szCs w:val="20"/>
                <w:lang w:val="fr-ML"/>
              </w:rPr>
            </w:pPr>
          </w:p>
          <w:p w14:paraId="5ADEAE10" w14:textId="47DCB14F" w:rsidR="00802BE5" w:rsidRPr="00C208F5" w:rsidRDefault="687947B3" w:rsidP="687947B3">
            <w:pPr>
              <w:pStyle w:val="TableParagraph"/>
              <w:spacing w:before="5" w:line="359" w:lineRule="auto"/>
              <w:ind w:left="97" w:right="704"/>
              <w:rPr>
                <w:sz w:val="20"/>
                <w:szCs w:val="20"/>
                <w:lang w:val="fr-ML"/>
              </w:rPr>
            </w:pPr>
            <w:r w:rsidRPr="4887D5E5">
              <w:rPr>
                <w:sz w:val="20"/>
                <w:szCs w:val="20"/>
              </w:rPr>
              <w:t>Directeurs des sites DHSS</w:t>
            </w:r>
          </w:p>
        </w:tc>
        <w:tc>
          <w:tcPr>
            <w:tcW w:w="2181" w:type="dxa"/>
            <w:tcBorders>
              <w:top w:val="single" w:sz="9" w:space="0" w:color="000000" w:themeColor="text1"/>
              <w:left w:val="single" w:sz="8" w:space="0" w:color="000000" w:themeColor="text1"/>
              <w:bottom w:val="single" w:sz="9" w:space="0" w:color="000000" w:themeColor="text1"/>
              <w:right w:val="single" w:sz="8" w:space="0" w:color="000000" w:themeColor="text1"/>
            </w:tcBorders>
          </w:tcPr>
          <w:p w14:paraId="2BC883E4" w14:textId="77777777" w:rsidR="00802BE5" w:rsidRPr="00C208F5" w:rsidRDefault="00802BE5" w:rsidP="004074DB">
            <w:pPr>
              <w:pStyle w:val="TableParagraph"/>
              <w:spacing w:before="93" w:line="359" w:lineRule="auto"/>
              <w:ind w:left="97" w:right="622"/>
              <w:rPr>
                <w:rFonts w:eastAsia="Times New Roman" w:cs="Times New Roman"/>
                <w:sz w:val="20"/>
                <w:szCs w:val="20"/>
                <w:lang w:val="fr-ML"/>
              </w:rPr>
            </w:pPr>
            <w:r w:rsidRPr="00C208F5">
              <w:rPr>
                <w:spacing w:val="-1"/>
                <w:sz w:val="20"/>
                <w:szCs w:val="20"/>
                <w:lang w:val="fr-ML"/>
              </w:rPr>
              <w:t>Directeurs médicaux, médecins,</w:t>
            </w:r>
          </w:p>
          <w:p w14:paraId="467880C5" w14:textId="77777777" w:rsidR="00802BE5" w:rsidRPr="00C208F5" w:rsidRDefault="00802BE5" w:rsidP="004074DB">
            <w:pPr>
              <w:pStyle w:val="TableParagraph"/>
              <w:spacing w:before="4" w:line="359" w:lineRule="auto"/>
              <w:ind w:left="97" w:right="367"/>
              <w:rPr>
                <w:rFonts w:eastAsia="Times New Roman" w:cs="Times New Roman"/>
                <w:sz w:val="20"/>
                <w:szCs w:val="20"/>
                <w:lang w:val="fr-ML"/>
              </w:rPr>
            </w:pPr>
            <w:r w:rsidRPr="00C208F5">
              <w:rPr>
                <w:sz w:val="20"/>
                <w:szCs w:val="20"/>
                <w:lang w:val="fr-ML"/>
              </w:rPr>
              <w:t xml:space="preserve">Responsables </w:t>
            </w:r>
            <w:r w:rsidRPr="00C208F5">
              <w:rPr>
                <w:spacing w:val="-1"/>
                <w:sz w:val="20"/>
                <w:szCs w:val="20"/>
                <w:lang w:val="fr-ML"/>
              </w:rPr>
              <w:t>de l'information sanitaire</w:t>
            </w:r>
          </w:p>
          <w:p w14:paraId="17F0CF39" w14:textId="77777777" w:rsidR="00802BE5" w:rsidRPr="00C208F5" w:rsidRDefault="00802BE5" w:rsidP="004074DB">
            <w:pPr>
              <w:pStyle w:val="TableParagraph"/>
              <w:rPr>
                <w:rFonts w:eastAsia="Times New Roman" w:cs="Times New Roman"/>
                <w:sz w:val="20"/>
                <w:szCs w:val="20"/>
                <w:lang w:val="fr-ML"/>
              </w:rPr>
            </w:pPr>
          </w:p>
          <w:p w14:paraId="0C4A8664" w14:textId="77777777" w:rsidR="00802BE5" w:rsidRPr="00C208F5" w:rsidRDefault="00802BE5" w:rsidP="004074DB">
            <w:pPr>
              <w:pStyle w:val="TableParagraph"/>
              <w:spacing w:before="129" w:line="360" w:lineRule="auto"/>
              <w:ind w:left="97" w:right="575"/>
              <w:rPr>
                <w:rFonts w:eastAsia="Times New Roman" w:cs="Times New Roman"/>
                <w:sz w:val="20"/>
                <w:szCs w:val="20"/>
                <w:lang w:val="fr-ML"/>
              </w:rPr>
            </w:pPr>
            <w:r w:rsidRPr="00C208F5">
              <w:rPr>
                <w:spacing w:val="-1"/>
                <w:sz w:val="20"/>
                <w:szCs w:val="20"/>
                <w:lang w:val="fr-ML"/>
              </w:rPr>
              <w:t xml:space="preserve">Infirmières/infirmières </w:t>
            </w:r>
            <w:r w:rsidRPr="00C208F5">
              <w:rPr>
                <w:sz w:val="20"/>
                <w:szCs w:val="20"/>
                <w:lang w:val="fr-ML"/>
              </w:rPr>
              <w:t xml:space="preserve">responsables, agents </w:t>
            </w:r>
            <w:r w:rsidRPr="00C208F5">
              <w:rPr>
                <w:spacing w:val="-1"/>
                <w:sz w:val="20"/>
                <w:szCs w:val="20"/>
                <w:lang w:val="fr-ML"/>
              </w:rPr>
              <w:t xml:space="preserve">de programme </w:t>
            </w:r>
            <w:r w:rsidRPr="00C208F5">
              <w:rPr>
                <w:sz w:val="20"/>
                <w:szCs w:val="20"/>
                <w:lang w:val="fr-ML"/>
              </w:rPr>
              <w:t>(VIH, etc.)</w:t>
            </w:r>
          </w:p>
          <w:p w14:paraId="22126526" w14:textId="77777777" w:rsidR="00802BE5" w:rsidRPr="00C208F5" w:rsidRDefault="00802BE5" w:rsidP="004074DB">
            <w:pPr>
              <w:pStyle w:val="TableParagraph"/>
              <w:spacing w:before="6" w:line="359" w:lineRule="auto"/>
              <w:ind w:left="97" w:right="196"/>
              <w:rPr>
                <w:rFonts w:eastAsia="Times New Roman" w:cs="Times New Roman"/>
                <w:sz w:val="20"/>
                <w:szCs w:val="20"/>
                <w:lang w:val="fr-ML"/>
              </w:rPr>
            </w:pPr>
            <w:r w:rsidRPr="00C208F5">
              <w:rPr>
                <w:sz w:val="20"/>
                <w:szCs w:val="20"/>
                <w:lang w:val="fr-ML"/>
              </w:rPr>
              <w:t xml:space="preserve">Agents </w:t>
            </w:r>
            <w:r w:rsidRPr="00C208F5">
              <w:rPr>
                <w:spacing w:val="-1"/>
                <w:sz w:val="20"/>
                <w:szCs w:val="20"/>
                <w:lang w:val="fr-ML"/>
              </w:rPr>
              <w:t>funéraires Agents de surveillance de la mortalité</w:t>
            </w:r>
          </w:p>
        </w:tc>
      </w:tr>
      <w:tr w:rsidR="00802BE5" w:rsidRPr="00861363" w14:paraId="7164A3C4" w14:textId="77777777" w:rsidTr="4887D5E5">
        <w:trPr>
          <w:trHeight w:hRule="exact" w:val="2425"/>
        </w:trPr>
        <w:tc>
          <w:tcPr>
            <w:tcW w:w="1782" w:type="dxa"/>
            <w:tcBorders>
              <w:top w:val="single" w:sz="9" w:space="0" w:color="000000" w:themeColor="text1"/>
              <w:left w:val="single" w:sz="8" w:space="0" w:color="000000" w:themeColor="text1"/>
              <w:bottom w:val="single" w:sz="8" w:space="0" w:color="000000" w:themeColor="text1"/>
              <w:right w:val="single" w:sz="8" w:space="0" w:color="000000" w:themeColor="text1"/>
            </w:tcBorders>
          </w:tcPr>
          <w:p w14:paraId="5F27D2E6" w14:textId="77777777" w:rsidR="00802BE5" w:rsidRPr="00C208F5" w:rsidRDefault="00802BE5" w:rsidP="004074DB">
            <w:pPr>
              <w:pStyle w:val="TableParagraph"/>
              <w:spacing w:before="93" w:line="359" w:lineRule="auto"/>
              <w:ind w:left="99" w:right="390"/>
              <w:rPr>
                <w:rFonts w:eastAsia="Times New Roman" w:cs="Times New Roman"/>
                <w:sz w:val="20"/>
                <w:szCs w:val="20"/>
                <w:lang w:val="fr-ML"/>
              </w:rPr>
            </w:pPr>
            <w:r w:rsidRPr="00C208F5">
              <w:rPr>
                <w:spacing w:val="-1"/>
                <w:sz w:val="20"/>
                <w:szCs w:val="20"/>
                <w:lang w:val="fr-ML"/>
              </w:rPr>
              <w:t xml:space="preserve">Institut </w:t>
            </w:r>
            <w:r w:rsidRPr="00C208F5">
              <w:rPr>
                <w:sz w:val="20"/>
                <w:szCs w:val="20"/>
                <w:lang w:val="fr-ML"/>
              </w:rPr>
              <w:t xml:space="preserve">national </w:t>
            </w:r>
            <w:r w:rsidRPr="00C208F5">
              <w:rPr>
                <w:spacing w:val="-1"/>
                <w:sz w:val="20"/>
                <w:szCs w:val="20"/>
                <w:lang w:val="fr-ML"/>
              </w:rPr>
              <w:t>de santé publique de Zambie</w:t>
            </w:r>
          </w:p>
        </w:tc>
        <w:tc>
          <w:tcPr>
            <w:tcW w:w="1724" w:type="dxa"/>
            <w:tcBorders>
              <w:top w:val="single" w:sz="9" w:space="0" w:color="000000" w:themeColor="text1"/>
              <w:left w:val="single" w:sz="8" w:space="0" w:color="000000" w:themeColor="text1"/>
              <w:bottom w:val="single" w:sz="8" w:space="0" w:color="000000" w:themeColor="text1"/>
              <w:right w:val="single" w:sz="8" w:space="0" w:color="000000" w:themeColor="text1"/>
            </w:tcBorders>
          </w:tcPr>
          <w:p w14:paraId="15D2B47F" w14:textId="32877884" w:rsidR="00802BE5" w:rsidRPr="00C208F5" w:rsidRDefault="00802BE5" w:rsidP="004074DB">
            <w:pPr>
              <w:pStyle w:val="TableParagraph"/>
              <w:spacing w:before="93" w:line="360" w:lineRule="auto"/>
              <w:ind w:left="97" w:right="120"/>
              <w:rPr>
                <w:rFonts w:eastAsia="Times New Roman" w:cs="Times New Roman"/>
                <w:sz w:val="20"/>
                <w:szCs w:val="20"/>
                <w:lang w:val="fr-ML"/>
              </w:rPr>
            </w:pPr>
            <w:r w:rsidRPr="00C208F5">
              <w:rPr>
                <w:spacing w:val="-1"/>
                <w:sz w:val="20"/>
                <w:szCs w:val="20"/>
                <w:lang w:val="fr-ML"/>
              </w:rPr>
              <w:t xml:space="preserve">Directeur général </w:t>
            </w:r>
            <w:r w:rsidRPr="00C208F5">
              <w:rPr>
                <w:sz w:val="20"/>
                <w:szCs w:val="20"/>
                <w:lang w:val="fr-ML"/>
              </w:rPr>
              <w:t xml:space="preserve">Responsables </w:t>
            </w:r>
            <w:r w:rsidRPr="00C208F5">
              <w:rPr>
                <w:spacing w:val="-1"/>
                <w:sz w:val="20"/>
                <w:szCs w:val="20"/>
                <w:lang w:val="fr-ML"/>
              </w:rPr>
              <w:t xml:space="preserve">de programme (surveillance de la mortalité) Maladies </w:t>
            </w:r>
            <w:r w:rsidRPr="00C208F5">
              <w:rPr>
                <w:sz w:val="20"/>
                <w:szCs w:val="20"/>
                <w:lang w:val="fr-ML"/>
              </w:rPr>
              <w:t xml:space="preserve">vitables par </w:t>
            </w:r>
            <w:r w:rsidRPr="00C208F5">
              <w:rPr>
                <w:spacing w:val="-1"/>
                <w:sz w:val="20"/>
                <w:szCs w:val="20"/>
                <w:lang w:val="fr-ML"/>
              </w:rPr>
              <w:t>la vaccination</w:t>
            </w:r>
          </w:p>
        </w:tc>
        <w:tc>
          <w:tcPr>
            <w:tcW w:w="1862" w:type="dxa"/>
            <w:tcBorders>
              <w:top w:val="single" w:sz="9" w:space="0" w:color="000000" w:themeColor="text1"/>
              <w:left w:val="single" w:sz="8" w:space="0" w:color="000000" w:themeColor="text1"/>
              <w:bottom w:val="single" w:sz="8" w:space="0" w:color="000000" w:themeColor="text1"/>
              <w:right w:val="single" w:sz="8" w:space="0" w:color="000000" w:themeColor="text1"/>
            </w:tcBorders>
          </w:tcPr>
          <w:p w14:paraId="4F63380A" w14:textId="77777777" w:rsidR="00802BE5" w:rsidRPr="00C208F5" w:rsidRDefault="00802BE5" w:rsidP="004074DB">
            <w:pPr>
              <w:pStyle w:val="TableParagraph"/>
              <w:spacing w:before="93" w:line="360" w:lineRule="auto"/>
              <w:ind w:left="98" w:right="195"/>
              <w:rPr>
                <w:rFonts w:eastAsia="Times New Roman" w:cs="Times New Roman"/>
                <w:sz w:val="20"/>
                <w:szCs w:val="20"/>
                <w:lang w:val="fr-ML"/>
              </w:rPr>
            </w:pPr>
            <w:r w:rsidRPr="00C208F5">
              <w:rPr>
                <w:sz w:val="20"/>
                <w:szCs w:val="20"/>
                <w:lang w:val="fr-ML"/>
              </w:rPr>
              <w:t xml:space="preserve">Agents </w:t>
            </w:r>
            <w:r w:rsidRPr="00C208F5">
              <w:rPr>
                <w:spacing w:val="-1"/>
                <w:sz w:val="20"/>
                <w:szCs w:val="20"/>
                <w:lang w:val="fr-ML"/>
              </w:rPr>
              <w:t xml:space="preserve">provinciaux de surveillance </w:t>
            </w:r>
            <w:r w:rsidRPr="00C208F5">
              <w:rPr>
                <w:sz w:val="20"/>
                <w:szCs w:val="20"/>
                <w:lang w:val="fr-ML"/>
              </w:rPr>
              <w:t xml:space="preserve">Agent </w:t>
            </w:r>
            <w:r w:rsidRPr="00C208F5">
              <w:rPr>
                <w:spacing w:val="-1"/>
                <w:sz w:val="20"/>
                <w:szCs w:val="20"/>
                <w:lang w:val="fr-ML"/>
              </w:rPr>
              <w:t>provincial d'information sanitaire</w:t>
            </w:r>
          </w:p>
        </w:tc>
        <w:tc>
          <w:tcPr>
            <w:tcW w:w="1861" w:type="dxa"/>
            <w:tcBorders>
              <w:top w:val="single" w:sz="9" w:space="0" w:color="000000" w:themeColor="text1"/>
              <w:left w:val="single" w:sz="8" w:space="0" w:color="000000" w:themeColor="text1"/>
              <w:bottom w:val="single" w:sz="8" w:space="0" w:color="000000" w:themeColor="text1"/>
              <w:right w:val="single" w:sz="8" w:space="0" w:color="000000" w:themeColor="text1"/>
            </w:tcBorders>
          </w:tcPr>
          <w:p w14:paraId="2C69B18C" w14:textId="77777777" w:rsidR="00802BE5" w:rsidRPr="00C208F5" w:rsidRDefault="00802BE5" w:rsidP="004074DB">
            <w:pPr>
              <w:pStyle w:val="TableParagraph"/>
              <w:spacing w:before="93" w:line="359" w:lineRule="auto"/>
              <w:ind w:left="97" w:right="641"/>
              <w:rPr>
                <w:rFonts w:eastAsia="Times New Roman" w:cs="Times New Roman"/>
                <w:sz w:val="20"/>
                <w:szCs w:val="20"/>
                <w:lang w:val="fr-ML"/>
              </w:rPr>
            </w:pPr>
            <w:r w:rsidRPr="00C208F5">
              <w:rPr>
                <w:spacing w:val="-1"/>
                <w:sz w:val="20"/>
                <w:szCs w:val="20"/>
                <w:lang w:val="fr-ML"/>
              </w:rPr>
              <w:t>Responsable provincial de la surveillance</w:t>
            </w:r>
          </w:p>
        </w:tc>
        <w:tc>
          <w:tcPr>
            <w:tcW w:w="2181" w:type="dxa"/>
            <w:tcBorders>
              <w:top w:val="single" w:sz="9" w:space="0" w:color="000000" w:themeColor="text1"/>
              <w:left w:val="single" w:sz="8" w:space="0" w:color="000000" w:themeColor="text1"/>
              <w:bottom w:val="single" w:sz="8" w:space="0" w:color="000000" w:themeColor="text1"/>
              <w:right w:val="single" w:sz="8" w:space="0" w:color="000000" w:themeColor="text1"/>
            </w:tcBorders>
          </w:tcPr>
          <w:p w14:paraId="6DCD207F" w14:textId="77777777" w:rsidR="00802BE5" w:rsidRPr="00861363" w:rsidRDefault="00802BE5" w:rsidP="004074DB">
            <w:pPr>
              <w:pStyle w:val="TableParagraph"/>
              <w:spacing w:before="93" w:line="359" w:lineRule="auto"/>
              <w:ind w:left="97" w:right="367"/>
              <w:rPr>
                <w:rFonts w:eastAsia="Times New Roman" w:cs="Times New Roman"/>
                <w:sz w:val="20"/>
                <w:szCs w:val="20"/>
              </w:rPr>
            </w:pPr>
            <w:r w:rsidRPr="00861363">
              <w:rPr>
                <w:sz w:val="20"/>
                <w:szCs w:val="20"/>
              </w:rPr>
              <w:t xml:space="preserve">Responsable </w:t>
            </w:r>
            <w:r w:rsidRPr="00861363">
              <w:rPr>
                <w:spacing w:val="-1"/>
                <w:sz w:val="20"/>
                <w:szCs w:val="20"/>
              </w:rPr>
              <w:t>de l'information sanitaire</w:t>
            </w:r>
          </w:p>
        </w:tc>
      </w:tr>
    </w:tbl>
    <w:p w14:paraId="69303054" w14:textId="77777777" w:rsidR="00802BE5" w:rsidRDefault="00802BE5" w:rsidP="0084665E"/>
    <w:p w14:paraId="44B39052" w14:textId="77777777" w:rsidR="00F95D73" w:rsidRDefault="00F95D73" w:rsidP="0084665E"/>
    <w:sectPr w:rsidR="00F95D73">
      <w:headerReference w:type="default" r:id="rId14"/>
      <w:footerReference w:type="defaul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Yacine Bai" w:date="2025-11-19T23:45:00Z" w:initials="YB">
    <w:p w14:paraId="4C11F43E" w14:textId="56625E11" w:rsidR="000D2D63" w:rsidRDefault="000D2D63">
      <w:pPr>
        <w:pStyle w:val="CommentText"/>
      </w:pPr>
      <w:r>
        <w:rPr>
          <w:rStyle w:val="CommentReference"/>
        </w:rPr>
        <w:annotationRef/>
      </w:r>
      <w:r w:rsidRPr="73AC15B1">
        <w:t>I would propose adding the french translation in parenthesis even if this is preferred in English.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C11F4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AA4938" w16cex:dateUtc="2025-11-20T04:45:00Z">
    <w16cex:extLst>
      <w16:ext w16:uri="{CE6994B0-6A32-4C9F-8C6B-6E91EDA988CE}">
        <cr:reactions xmlns:cr="http://schemas.microsoft.com/office/comments/2020/reactions">
          <cr:reaction reactionType="1">
            <cr:reactionInfo dateUtc="2025-11-20T12:56:21Z">
              <cr:user userId="S::kzack1@jh.edu::6bd9d54f-fddd-46a8-9f70-b7871c97e1cd" userProvider="AD" userName="Kelsey Zack"/>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11F43E" w16cid:durableId="4CAA493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01A15" w14:textId="77777777" w:rsidR="000D2D63" w:rsidRDefault="000D2D63" w:rsidP="00D25E2C">
      <w:pPr>
        <w:spacing w:after="0" w:line="240" w:lineRule="auto"/>
      </w:pPr>
      <w:r>
        <w:separator/>
      </w:r>
    </w:p>
  </w:endnote>
  <w:endnote w:type="continuationSeparator" w:id="0">
    <w:p w14:paraId="5FDD338B" w14:textId="77777777" w:rsidR="000D2D63" w:rsidRDefault="000D2D63" w:rsidP="00D25E2C">
      <w:pPr>
        <w:spacing w:after="0" w:line="240" w:lineRule="auto"/>
      </w:pPr>
      <w:r>
        <w:continuationSeparator/>
      </w:r>
    </w:p>
  </w:endnote>
  <w:endnote w:type="continuationNotice" w:id="1">
    <w:p w14:paraId="162A99AB" w14:textId="77777777" w:rsidR="000D2D63" w:rsidRDefault="000D2D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5787660"/>
      <w:docPartObj>
        <w:docPartGallery w:val="Page Numbers (Bottom of Page)"/>
        <w:docPartUnique/>
      </w:docPartObj>
    </w:sdtPr>
    <w:sdtEndPr>
      <w:rPr>
        <w:noProof/>
      </w:rPr>
    </w:sdtEndPr>
    <w:sdtContent>
      <w:p w14:paraId="7EA4F128" w14:textId="77777777" w:rsidR="006E02F0" w:rsidRDefault="00C338BB" w:rsidP="4887D5E5">
        <w:pPr>
          <w:pStyle w:val="Footer"/>
          <w:jc w:val="center"/>
          <w:rPr>
            <w:noProof/>
          </w:rPr>
        </w:pPr>
        <w:r>
          <w:fldChar w:fldCharType="begin"/>
        </w:r>
        <w:r>
          <w:instrText xml:space="preserve"> PAGE   \* MERGEFORMAT </w:instrText>
        </w:r>
        <w:r>
          <w:fldChar w:fldCharType="separate"/>
        </w:r>
        <w:r w:rsidR="4887D5E5">
          <w:t>2</w:t>
        </w:r>
        <w:r>
          <w:fldChar w:fldCharType="end"/>
        </w:r>
      </w:p>
      <w:p w14:paraId="5B009DCE" w14:textId="0A868BEF" w:rsidR="005F7AC0" w:rsidRPr="006E02F0" w:rsidRDefault="4887D5E5" w:rsidP="4887D5E5">
        <w:pPr>
          <w:pStyle w:val="Footer"/>
          <w:rPr>
            <w:noProof/>
          </w:rPr>
        </w:pPr>
        <w:r w:rsidRPr="4887D5E5">
          <w:rPr>
            <w:rFonts w:ascii="Aptos" w:hAnsi="Aptos"/>
            <w:i/>
            <w:iCs/>
            <w:color w:val="FF0000"/>
            <w:sz w:val="20"/>
            <w:szCs w:val="20"/>
          </w:rPr>
          <w:t>Version 1 - 7 mai 2025</w:t>
        </w:r>
        <w:r w:rsidR="00755831">
          <w:tab/>
        </w:r>
        <w:r w:rsidR="00755831">
          <w:tab/>
        </w:r>
        <w:r w:rsidRPr="4887D5E5">
          <w:rPr>
            <w:rFonts w:ascii="Aptos" w:hAnsi="Aptos"/>
            <w:i/>
            <w:iCs/>
            <w:color w:val="FF0000"/>
            <w:sz w:val="20"/>
            <w:szCs w:val="20"/>
          </w:rPr>
          <w:t>s2_8</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BDB4E" w14:textId="77777777" w:rsidR="000D2D63" w:rsidRDefault="000D2D63" w:rsidP="00D25E2C">
      <w:pPr>
        <w:spacing w:after="0" w:line="240" w:lineRule="auto"/>
      </w:pPr>
      <w:r>
        <w:separator/>
      </w:r>
    </w:p>
  </w:footnote>
  <w:footnote w:type="continuationSeparator" w:id="0">
    <w:p w14:paraId="436406B4" w14:textId="77777777" w:rsidR="000D2D63" w:rsidRDefault="000D2D63" w:rsidP="00D25E2C">
      <w:pPr>
        <w:spacing w:after="0" w:line="240" w:lineRule="auto"/>
      </w:pPr>
      <w:r>
        <w:continuationSeparator/>
      </w:r>
    </w:p>
  </w:footnote>
  <w:footnote w:type="continuationNotice" w:id="1">
    <w:p w14:paraId="20850733" w14:textId="77777777" w:rsidR="000D2D63" w:rsidRDefault="000D2D63">
      <w:pPr>
        <w:spacing w:after="0" w:line="240" w:lineRule="auto"/>
      </w:pPr>
    </w:p>
  </w:footnote>
  <w:footnote w:id="2">
    <w:p w14:paraId="723CDC32" w14:textId="2006D391" w:rsidR="00524EA7" w:rsidRPr="00C208F5" w:rsidRDefault="00524EA7">
      <w:pPr>
        <w:pStyle w:val="FootnoteText"/>
        <w:rPr>
          <w:lang w:val="fr-ML"/>
        </w:rPr>
      </w:pPr>
      <w:r>
        <w:rPr>
          <w:rStyle w:val="FootnoteReference"/>
        </w:rPr>
        <w:footnoteRef/>
      </w:r>
      <w:r w:rsidRPr="00C208F5">
        <w:rPr>
          <w:lang w:val="fr-ML"/>
        </w:rPr>
        <w:t xml:space="preserve"> En Afrique, l'Africa CDC a élaboré un cadre de surveillance de la mortalité et collabore avec les pays pour le mettre en œuvre. </w:t>
      </w:r>
    </w:p>
  </w:footnote>
  <w:footnote w:id="3">
    <w:p w14:paraId="43BF5E15" w14:textId="5DC04DCE" w:rsidR="15A10536" w:rsidRPr="00C208F5" w:rsidRDefault="15A10536" w:rsidP="15A10536">
      <w:pPr>
        <w:pStyle w:val="FootnoteText"/>
        <w:rPr>
          <w:lang w:val="fr-ML"/>
        </w:rPr>
      </w:pPr>
      <w:r w:rsidRPr="15A10536">
        <w:rPr>
          <w:rStyle w:val="FootnoteReference"/>
        </w:rPr>
        <w:footnoteRef/>
      </w:r>
      <w:r w:rsidRPr="00C208F5">
        <w:rPr>
          <w:lang w:val="fr-ML"/>
        </w:rPr>
        <w:t xml:space="preserve"> https://www.who.int/teams/digital-health-and-innovation/smart-guidelines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279A7" w14:textId="187004FB" w:rsidR="00E555FC" w:rsidRPr="00C338BB" w:rsidRDefault="00E555FC" w:rsidP="4887D5E5">
    <w:pPr>
      <w:pStyle w:val="Header"/>
      <w:jc w:val="right"/>
      <w:rPr>
        <w:i/>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33D88"/>
    <w:multiLevelType w:val="hybridMultilevel"/>
    <w:tmpl w:val="1BEEF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10EEC4"/>
    <w:multiLevelType w:val="hybridMultilevel"/>
    <w:tmpl w:val="2110EB90"/>
    <w:lvl w:ilvl="0" w:tplc="715AF4BC">
      <w:start w:val="1"/>
      <w:numFmt w:val="bullet"/>
      <w:lvlText w:val=""/>
      <w:lvlJc w:val="left"/>
      <w:pPr>
        <w:ind w:left="720" w:hanging="360"/>
      </w:pPr>
      <w:rPr>
        <w:rFonts w:ascii="Symbol" w:hAnsi="Symbol" w:hint="default"/>
      </w:rPr>
    </w:lvl>
    <w:lvl w:ilvl="1" w:tplc="5974324C">
      <w:start w:val="1"/>
      <w:numFmt w:val="bullet"/>
      <w:lvlText w:val="o"/>
      <w:lvlJc w:val="left"/>
      <w:pPr>
        <w:ind w:left="1440" w:hanging="360"/>
      </w:pPr>
      <w:rPr>
        <w:rFonts w:ascii="Courier New" w:hAnsi="Courier New" w:hint="default"/>
      </w:rPr>
    </w:lvl>
    <w:lvl w:ilvl="2" w:tplc="1A4E85DE">
      <w:start w:val="1"/>
      <w:numFmt w:val="bullet"/>
      <w:lvlText w:val=""/>
      <w:lvlJc w:val="left"/>
      <w:pPr>
        <w:ind w:left="2160" w:hanging="360"/>
      </w:pPr>
      <w:rPr>
        <w:rFonts w:ascii="Wingdings" w:hAnsi="Wingdings" w:hint="default"/>
      </w:rPr>
    </w:lvl>
    <w:lvl w:ilvl="3" w:tplc="2E3C0F14">
      <w:start w:val="1"/>
      <w:numFmt w:val="bullet"/>
      <w:lvlText w:val=""/>
      <w:lvlJc w:val="left"/>
      <w:pPr>
        <w:ind w:left="2880" w:hanging="360"/>
      </w:pPr>
      <w:rPr>
        <w:rFonts w:ascii="Symbol" w:hAnsi="Symbol" w:hint="default"/>
      </w:rPr>
    </w:lvl>
    <w:lvl w:ilvl="4" w:tplc="BBE282B4">
      <w:start w:val="1"/>
      <w:numFmt w:val="bullet"/>
      <w:lvlText w:val="o"/>
      <w:lvlJc w:val="left"/>
      <w:pPr>
        <w:ind w:left="3600" w:hanging="360"/>
      </w:pPr>
      <w:rPr>
        <w:rFonts w:ascii="Courier New" w:hAnsi="Courier New" w:hint="default"/>
      </w:rPr>
    </w:lvl>
    <w:lvl w:ilvl="5" w:tplc="CFC67A2C">
      <w:start w:val="1"/>
      <w:numFmt w:val="bullet"/>
      <w:lvlText w:val=""/>
      <w:lvlJc w:val="left"/>
      <w:pPr>
        <w:ind w:left="4320" w:hanging="360"/>
      </w:pPr>
      <w:rPr>
        <w:rFonts w:ascii="Wingdings" w:hAnsi="Wingdings" w:hint="default"/>
      </w:rPr>
    </w:lvl>
    <w:lvl w:ilvl="6" w:tplc="450EB06A">
      <w:start w:val="1"/>
      <w:numFmt w:val="bullet"/>
      <w:lvlText w:val=""/>
      <w:lvlJc w:val="left"/>
      <w:pPr>
        <w:ind w:left="5040" w:hanging="360"/>
      </w:pPr>
      <w:rPr>
        <w:rFonts w:ascii="Symbol" w:hAnsi="Symbol" w:hint="default"/>
      </w:rPr>
    </w:lvl>
    <w:lvl w:ilvl="7" w:tplc="571C1E34">
      <w:start w:val="1"/>
      <w:numFmt w:val="bullet"/>
      <w:lvlText w:val="o"/>
      <w:lvlJc w:val="left"/>
      <w:pPr>
        <w:ind w:left="5760" w:hanging="360"/>
      </w:pPr>
      <w:rPr>
        <w:rFonts w:ascii="Courier New" w:hAnsi="Courier New" w:hint="default"/>
      </w:rPr>
    </w:lvl>
    <w:lvl w:ilvl="8" w:tplc="13922C7C">
      <w:start w:val="1"/>
      <w:numFmt w:val="bullet"/>
      <w:lvlText w:val=""/>
      <w:lvlJc w:val="left"/>
      <w:pPr>
        <w:ind w:left="6480" w:hanging="360"/>
      </w:pPr>
      <w:rPr>
        <w:rFonts w:ascii="Wingdings" w:hAnsi="Wingdings" w:hint="default"/>
      </w:rPr>
    </w:lvl>
  </w:abstractNum>
  <w:abstractNum w:abstractNumId="2" w15:restartNumberingAfterBreak="0">
    <w:nsid w:val="36C20055"/>
    <w:multiLevelType w:val="hybridMultilevel"/>
    <w:tmpl w:val="F03606B2"/>
    <w:lvl w:ilvl="0" w:tplc="249015DE">
      <w:start w:val="1"/>
      <w:numFmt w:val="decimal"/>
      <w:lvlText w:val="%1."/>
      <w:lvlJc w:val="left"/>
      <w:pPr>
        <w:ind w:left="1440" w:hanging="360"/>
      </w:pPr>
    </w:lvl>
    <w:lvl w:ilvl="1" w:tplc="2A94BC12">
      <w:start w:val="1"/>
      <w:numFmt w:val="decimal"/>
      <w:lvlText w:val="%2."/>
      <w:lvlJc w:val="left"/>
      <w:pPr>
        <w:ind w:left="1440" w:hanging="360"/>
      </w:pPr>
    </w:lvl>
    <w:lvl w:ilvl="2" w:tplc="A1E6644A">
      <w:start w:val="1"/>
      <w:numFmt w:val="decimal"/>
      <w:lvlText w:val="%3."/>
      <w:lvlJc w:val="left"/>
      <w:pPr>
        <w:ind w:left="1440" w:hanging="360"/>
      </w:pPr>
    </w:lvl>
    <w:lvl w:ilvl="3" w:tplc="028E547E">
      <w:start w:val="1"/>
      <w:numFmt w:val="decimal"/>
      <w:lvlText w:val="%4."/>
      <w:lvlJc w:val="left"/>
      <w:pPr>
        <w:ind w:left="1440" w:hanging="360"/>
      </w:pPr>
    </w:lvl>
    <w:lvl w:ilvl="4" w:tplc="D6200748">
      <w:start w:val="1"/>
      <w:numFmt w:val="decimal"/>
      <w:lvlText w:val="%5."/>
      <w:lvlJc w:val="left"/>
      <w:pPr>
        <w:ind w:left="1440" w:hanging="360"/>
      </w:pPr>
    </w:lvl>
    <w:lvl w:ilvl="5" w:tplc="B3B0D690">
      <w:start w:val="1"/>
      <w:numFmt w:val="decimal"/>
      <w:lvlText w:val="%6."/>
      <w:lvlJc w:val="left"/>
      <w:pPr>
        <w:ind w:left="1440" w:hanging="360"/>
      </w:pPr>
    </w:lvl>
    <w:lvl w:ilvl="6" w:tplc="D86C5E8E">
      <w:start w:val="1"/>
      <w:numFmt w:val="decimal"/>
      <w:lvlText w:val="%7."/>
      <w:lvlJc w:val="left"/>
      <w:pPr>
        <w:ind w:left="1440" w:hanging="360"/>
      </w:pPr>
    </w:lvl>
    <w:lvl w:ilvl="7" w:tplc="06844CD8">
      <w:start w:val="1"/>
      <w:numFmt w:val="decimal"/>
      <w:lvlText w:val="%8."/>
      <w:lvlJc w:val="left"/>
      <w:pPr>
        <w:ind w:left="1440" w:hanging="360"/>
      </w:pPr>
    </w:lvl>
    <w:lvl w:ilvl="8" w:tplc="5992AA84">
      <w:start w:val="1"/>
      <w:numFmt w:val="decimal"/>
      <w:lvlText w:val="%9."/>
      <w:lvlJc w:val="left"/>
      <w:pPr>
        <w:ind w:left="1440" w:hanging="360"/>
      </w:pPr>
    </w:lvl>
  </w:abstractNum>
  <w:abstractNum w:abstractNumId="3" w15:restartNumberingAfterBreak="0">
    <w:nsid w:val="46D93E21"/>
    <w:multiLevelType w:val="hybridMultilevel"/>
    <w:tmpl w:val="7EAC32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D335114"/>
    <w:multiLevelType w:val="hybridMultilevel"/>
    <w:tmpl w:val="25F46E56"/>
    <w:lvl w:ilvl="0" w:tplc="66E84C7C">
      <w:start w:val="1"/>
      <w:numFmt w:val="bullet"/>
      <w:lvlText w:val=""/>
      <w:lvlJc w:val="left"/>
      <w:pPr>
        <w:ind w:left="720" w:hanging="360"/>
      </w:pPr>
      <w:rPr>
        <w:rFonts w:ascii="Symbol" w:hAnsi="Symbol" w:hint="default"/>
      </w:rPr>
    </w:lvl>
    <w:lvl w:ilvl="1" w:tplc="C7104348">
      <w:start w:val="1"/>
      <w:numFmt w:val="bullet"/>
      <w:lvlText w:val="o"/>
      <w:lvlJc w:val="left"/>
      <w:pPr>
        <w:ind w:left="1440" w:hanging="360"/>
      </w:pPr>
      <w:rPr>
        <w:rFonts w:ascii="Courier New" w:hAnsi="Courier New" w:hint="default"/>
      </w:rPr>
    </w:lvl>
    <w:lvl w:ilvl="2" w:tplc="734C8A18">
      <w:start w:val="1"/>
      <w:numFmt w:val="bullet"/>
      <w:lvlText w:val=""/>
      <w:lvlJc w:val="left"/>
      <w:pPr>
        <w:ind w:left="2160" w:hanging="360"/>
      </w:pPr>
      <w:rPr>
        <w:rFonts w:ascii="Wingdings" w:hAnsi="Wingdings" w:hint="default"/>
      </w:rPr>
    </w:lvl>
    <w:lvl w:ilvl="3" w:tplc="2744BB4A">
      <w:start w:val="1"/>
      <w:numFmt w:val="bullet"/>
      <w:lvlText w:val=""/>
      <w:lvlJc w:val="left"/>
      <w:pPr>
        <w:ind w:left="2880" w:hanging="360"/>
      </w:pPr>
      <w:rPr>
        <w:rFonts w:ascii="Symbol" w:hAnsi="Symbol" w:hint="default"/>
      </w:rPr>
    </w:lvl>
    <w:lvl w:ilvl="4" w:tplc="B63484E4">
      <w:start w:val="1"/>
      <w:numFmt w:val="bullet"/>
      <w:lvlText w:val="o"/>
      <w:lvlJc w:val="left"/>
      <w:pPr>
        <w:ind w:left="3600" w:hanging="360"/>
      </w:pPr>
      <w:rPr>
        <w:rFonts w:ascii="Courier New" w:hAnsi="Courier New" w:hint="default"/>
      </w:rPr>
    </w:lvl>
    <w:lvl w:ilvl="5" w:tplc="9FB68DBE">
      <w:start w:val="1"/>
      <w:numFmt w:val="bullet"/>
      <w:lvlText w:val=""/>
      <w:lvlJc w:val="left"/>
      <w:pPr>
        <w:ind w:left="4320" w:hanging="360"/>
      </w:pPr>
      <w:rPr>
        <w:rFonts w:ascii="Wingdings" w:hAnsi="Wingdings" w:hint="default"/>
      </w:rPr>
    </w:lvl>
    <w:lvl w:ilvl="6" w:tplc="5AC0FECE">
      <w:start w:val="1"/>
      <w:numFmt w:val="bullet"/>
      <w:lvlText w:val=""/>
      <w:lvlJc w:val="left"/>
      <w:pPr>
        <w:ind w:left="5040" w:hanging="360"/>
      </w:pPr>
      <w:rPr>
        <w:rFonts w:ascii="Symbol" w:hAnsi="Symbol" w:hint="default"/>
      </w:rPr>
    </w:lvl>
    <w:lvl w:ilvl="7" w:tplc="D6B478BE">
      <w:start w:val="1"/>
      <w:numFmt w:val="bullet"/>
      <w:lvlText w:val="o"/>
      <w:lvlJc w:val="left"/>
      <w:pPr>
        <w:ind w:left="5760" w:hanging="360"/>
      </w:pPr>
      <w:rPr>
        <w:rFonts w:ascii="Courier New" w:hAnsi="Courier New" w:hint="default"/>
      </w:rPr>
    </w:lvl>
    <w:lvl w:ilvl="8" w:tplc="780843F0">
      <w:start w:val="1"/>
      <w:numFmt w:val="bullet"/>
      <w:lvlText w:val=""/>
      <w:lvlJc w:val="left"/>
      <w:pPr>
        <w:ind w:left="6480" w:hanging="360"/>
      </w:pPr>
      <w:rPr>
        <w:rFonts w:ascii="Wingdings" w:hAnsi="Wingdings" w:hint="default"/>
      </w:rPr>
    </w:lvl>
  </w:abstractNum>
  <w:abstractNum w:abstractNumId="5" w15:restartNumberingAfterBreak="0">
    <w:nsid w:val="62DE21A4"/>
    <w:multiLevelType w:val="hybridMultilevel"/>
    <w:tmpl w:val="3D88FB1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84133575">
    <w:abstractNumId w:val="1"/>
  </w:num>
  <w:num w:numId="2" w16cid:durableId="1165366512">
    <w:abstractNumId w:val="4"/>
  </w:num>
  <w:num w:numId="3" w16cid:durableId="1030297912">
    <w:abstractNumId w:val="3"/>
  </w:num>
  <w:num w:numId="4" w16cid:durableId="1216162238">
    <w:abstractNumId w:val="0"/>
  </w:num>
  <w:num w:numId="5" w16cid:durableId="445664463">
    <w:abstractNumId w:val="2"/>
  </w:num>
  <w:num w:numId="6" w16cid:durableId="64875010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acine Bai">
    <w15:presenceInfo w15:providerId="AD" w15:userId="S::ybai14@jh.edu::0a7efa58-7285-46d1-bc0d-9b2ef075d5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YzNzczNjEwNbc0NjVW0lEKTi0uzszPAykwrQUAqPaP2CwAAAA="/>
  </w:docVars>
  <w:rsids>
    <w:rsidRoot w:val="000205D2"/>
    <w:rsid w:val="00001FB7"/>
    <w:rsid w:val="0000754B"/>
    <w:rsid w:val="000205D2"/>
    <w:rsid w:val="000272A9"/>
    <w:rsid w:val="00057BF6"/>
    <w:rsid w:val="00065BF7"/>
    <w:rsid w:val="00067630"/>
    <w:rsid w:val="000748D9"/>
    <w:rsid w:val="00087B9A"/>
    <w:rsid w:val="00093D34"/>
    <w:rsid w:val="000B6982"/>
    <w:rsid w:val="000C238A"/>
    <w:rsid w:val="000D2D63"/>
    <w:rsid w:val="00164195"/>
    <w:rsid w:val="00173284"/>
    <w:rsid w:val="0018312D"/>
    <w:rsid w:val="00190478"/>
    <w:rsid w:val="001B2E50"/>
    <w:rsid w:val="001D0396"/>
    <w:rsid w:val="001E6C9B"/>
    <w:rsid w:val="00205055"/>
    <w:rsid w:val="00260617"/>
    <w:rsid w:val="00262545"/>
    <w:rsid w:val="002677C3"/>
    <w:rsid w:val="002D2FC4"/>
    <w:rsid w:val="0033559C"/>
    <w:rsid w:val="00371779"/>
    <w:rsid w:val="00374134"/>
    <w:rsid w:val="00375A64"/>
    <w:rsid w:val="00381B31"/>
    <w:rsid w:val="0039776F"/>
    <w:rsid w:val="003A48F4"/>
    <w:rsid w:val="003C567E"/>
    <w:rsid w:val="003D69D3"/>
    <w:rsid w:val="003E2017"/>
    <w:rsid w:val="003E373A"/>
    <w:rsid w:val="0041427C"/>
    <w:rsid w:val="0042239E"/>
    <w:rsid w:val="00424BB1"/>
    <w:rsid w:val="00484482"/>
    <w:rsid w:val="004A1B68"/>
    <w:rsid w:val="004A4132"/>
    <w:rsid w:val="004A6855"/>
    <w:rsid w:val="004B0ECF"/>
    <w:rsid w:val="004C560B"/>
    <w:rsid w:val="004E02F5"/>
    <w:rsid w:val="004F65FC"/>
    <w:rsid w:val="0050363C"/>
    <w:rsid w:val="00503B44"/>
    <w:rsid w:val="005070BB"/>
    <w:rsid w:val="00522A04"/>
    <w:rsid w:val="00524EA7"/>
    <w:rsid w:val="00532B1B"/>
    <w:rsid w:val="0053546D"/>
    <w:rsid w:val="0056651A"/>
    <w:rsid w:val="005961CB"/>
    <w:rsid w:val="005A6792"/>
    <w:rsid w:val="005E7FDC"/>
    <w:rsid w:val="005F7AC0"/>
    <w:rsid w:val="006139F2"/>
    <w:rsid w:val="006165F4"/>
    <w:rsid w:val="006203BD"/>
    <w:rsid w:val="00642A89"/>
    <w:rsid w:val="00646017"/>
    <w:rsid w:val="006610BC"/>
    <w:rsid w:val="00673AE6"/>
    <w:rsid w:val="00684EC9"/>
    <w:rsid w:val="006A7BCA"/>
    <w:rsid w:val="006B4625"/>
    <w:rsid w:val="006E02F0"/>
    <w:rsid w:val="006F4312"/>
    <w:rsid w:val="00735878"/>
    <w:rsid w:val="00745C50"/>
    <w:rsid w:val="00750D66"/>
    <w:rsid w:val="00755831"/>
    <w:rsid w:val="007761DC"/>
    <w:rsid w:val="007857B9"/>
    <w:rsid w:val="007A4FC8"/>
    <w:rsid w:val="007B00CC"/>
    <w:rsid w:val="007B6D37"/>
    <w:rsid w:val="007C188B"/>
    <w:rsid w:val="007F6C6D"/>
    <w:rsid w:val="00802BE5"/>
    <w:rsid w:val="00804E8D"/>
    <w:rsid w:val="00824AA9"/>
    <w:rsid w:val="0083060D"/>
    <w:rsid w:val="00831915"/>
    <w:rsid w:val="00831CCE"/>
    <w:rsid w:val="0084665E"/>
    <w:rsid w:val="00861363"/>
    <w:rsid w:val="00867D11"/>
    <w:rsid w:val="00870E98"/>
    <w:rsid w:val="008807DF"/>
    <w:rsid w:val="008948BF"/>
    <w:rsid w:val="008B172D"/>
    <w:rsid w:val="008B67F4"/>
    <w:rsid w:val="008F0B14"/>
    <w:rsid w:val="008F36CC"/>
    <w:rsid w:val="00902779"/>
    <w:rsid w:val="0092611F"/>
    <w:rsid w:val="009270DA"/>
    <w:rsid w:val="00933DD0"/>
    <w:rsid w:val="00955158"/>
    <w:rsid w:val="00963147"/>
    <w:rsid w:val="00964BA9"/>
    <w:rsid w:val="00970D1E"/>
    <w:rsid w:val="009825F6"/>
    <w:rsid w:val="009854A3"/>
    <w:rsid w:val="009A6527"/>
    <w:rsid w:val="009E719D"/>
    <w:rsid w:val="00A06E2E"/>
    <w:rsid w:val="00A11156"/>
    <w:rsid w:val="00A246A1"/>
    <w:rsid w:val="00A2580B"/>
    <w:rsid w:val="00A25833"/>
    <w:rsid w:val="00A66D23"/>
    <w:rsid w:val="00AA6CE2"/>
    <w:rsid w:val="00AB34A4"/>
    <w:rsid w:val="00AB63F4"/>
    <w:rsid w:val="00AC000F"/>
    <w:rsid w:val="00AD4DFB"/>
    <w:rsid w:val="00AF76E2"/>
    <w:rsid w:val="00B01E03"/>
    <w:rsid w:val="00B02412"/>
    <w:rsid w:val="00B042F6"/>
    <w:rsid w:val="00B32DB0"/>
    <w:rsid w:val="00B33100"/>
    <w:rsid w:val="00B51BA5"/>
    <w:rsid w:val="00B53E24"/>
    <w:rsid w:val="00B64D14"/>
    <w:rsid w:val="00B6559C"/>
    <w:rsid w:val="00B756BD"/>
    <w:rsid w:val="00B96541"/>
    <w:rsid w:val="00B9760C"/>
    <w:rsid w:val="00BC0F23"/>
    <w:rsid w:val="00BD345A"/>
    <w:rsid w:val="00BF051E"/>
    <w:rsid w:val="00C11F4C"/>
    <w:rsid w:val="00C208F5"/>
    <w:rsid w:val="00C338BB"/>
    <w:rsid w:val="00C45B56"/>
    <w:rsid w:val="00C55098"/>
    <w:rsid w:val="00C77E08"/>
    <w:rsid w:val="00C815D8"/>
    <w:rsid w:val="00C90F2D"/>
    <w:rsid w:val="00CA6D50"/>
    <w:rsid w:val="00CE042D"/>
    <w:rsid w:val="00CE1F32"/>
    <w:rsid w:val="00CE2EAC"/>
    <w:rsid w:val="00D0614B"/>
    <w:rsid w:val="00D11AFD"/>
    <w:rsid w:val="00D16870"/>
    <w:rsid w:val="00D25E2C"/>
    <w:rsid w:val="00D43B9E"/>
    <w:rsid w:val="00D47C28"/>
    <w:rsid w:val="00D51717"/>
    <w:rsid w:val="00D80156"/>
    <w:rsid w:val="00D81310"/>
    <w:rsid w:val="00D94170"/>
    <w:rsid w:val="00D9680E"/>
    <w:rsid w:val="00DA1160"/>
    <w:rsid w:val="00DC0A03"/>
    <w:rsid w:val="00DC0D5A"/>
    <w:rsid w:val="00E16C3B"/>
    <w:rsid w:val="00E36CE6"/>
    <w:rsid w:val="00E555DF"/>
    <w:rsid w:val="00E555FC"/>
    <w:rsid w:val="00E74663"/>
    <w:rsid w:val="00E84611"/>
    <w:rsid w:val="00EB4FCB"/>
    <w:rsid w:val="00EB66A6"/>
    <w:rsid w:val="00ED1283"/>
    <w:rsid w:val="00EE7D99"/>
    <w:rsid w:val="00F13014"/>
    <w:rsid w:val="00F21240"/>
    <w:rsid w:val="00F21DF3"/>
    <w:rsid w:val="00F24F75"/>
    <w:rsid w:val="00F27EF4"/>
    <w:rsid w:val="00F46E91"/>
    <w:rsid w:val="00F57DE5"/>
    <w:rsid w:val="00F85FFA"/>
    <w:rsid w:val="00F95D73"/>
    <w:rsid w:val="00FA5C25"/>
    <w:rsid w:val="00FF2215"/>
    <w:rsid w:val="00FF41BE"/>
    <w:rsid w:val="0B848EA8"/>
    <w:rsid w:val="1003095C"/>
    <w:rsid w:val="1109F071"/>
    <w:rsid w:val="1159566E"/>
    <w:rsid w:val="12764D63"/>
    <w:rsid w:val="132C70BE"/>
    <w:rsid w:val="1468F383"/>
    <w:rsid w:val="154B110F"/>
    <w:rsid w:val="15A10536"/>
    <w:rsid w:val="19B2098D"/>
    <w:rsid w:val="1B0E0879"/>
    <w:rsid w:val="1B9926EC"/>
    <w:rsid w:val="1C098260"/>
    <w:rsid w:val="1CFB2D60"/>
    <w:rsid w:val="1E4D3F65"/>
    <w:rsid w:val="25F2FBE3"/>
    <w:rsid w:val="26A41988"/>
    <w:rsid w:val="271CB8F3"/>
    <w:rsid w:val="272345E5"/>
    <w:rsid w:val="297A06A2"/>
    <w:rsid w:val="2C985E06"/>
    <w:rsid w:val="2DD96D01"/>
    <w:rsid w:val="2DDC4E19"/>
    <w:rsid w:val="2F615214"/>
    <w:rsid w:val="303A42AA"/>
    <w:rsid w:val="379B565D"/>
    <w:rsid w:val="37B30058"/>
    <w:rsid w:val="3884DBC4"/>
    <w:rsid w:val="38890BA2"/>
    <w:rsid w:val="395C8642"/>
    <w:rsid w:val="39E9C094"/>
    <w:rsid w:val="3C594304"/>
    <w:rsid w:val="3EAE7F80"/>
    <w:rsid w:val="41171B9D"/>
    <w:rsid w:val="42D5295A"/>
    <w:rsid w:val="44CB7DB7"/>
    <w:rsid w:val="459FE7A1"/>
    <w:rsid w:val="483CFAA1"/>
    <w:rsid w:val="4887D5E5"/>
    <w:rsid w:val="48BE18E0"/>
    <w:rsid w:val="49EFC3F1"/>
    <w:rsid w:val="4A9D9DA6"/>
    <w:rsid w:val="4D52DBD0"/>
    <w:rsid w:val="5026DC96"/>
    <w:rsid w:val="54247572"/>
    <w:rsid w:val="56AD04D6"/>
    <w:rsid w:val="5D892BD1"/>
    <w:rsid w:val="5E263793"/>
    <w:rsid w:val="5E45A846"/>
    <w:rsid w:val="62BED016"/>
    <w:rsid w:val="64077A87"/>
    <w:rsid w:val="6719076F"/>
    <w:rsid w:val="687947B3"/>
    <w:rsid w:val="697FF001"/>
    <w:rsid w:val="6CEDBD17"/>
    <w:rsid w:val="6CFCF861"/>
    <w:rsid w:val="72B06645"/>
    <w:rsid w:val="73521157"/>
    <w:rsid w:val="7551A097"/>
    <w:rsid w:val="755960CB"/>
    <w:rsid w:val="76FB94A0"/>
    <w:rsid w:val="7C2A7F98"/>
    <w:rsid w:val="7E7DF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0BDB2"/>
  <w15:chartTrackingRefBased/>
  <w15:docId w15:val="{A481CC6D-72AB-4755-978B-9E002989E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887D5E5"/>
    <w:rPr>
      <w:lang w:val="fr-FR"/>
    </w:rPr>
  </w:style>
  <w:style w:type="paragraph" w:styleId="Heading1">
    <w:name w:val="heading 1"/>
    <w:basedOn w:val="Normal"/>
    <w:next w:val="Normal"/>
    <w:link w:val="Heading1Char"/>
    <w:uiPriority w:val="9"/>
    <w:qFormat/>
    <w:rsid w:val="4887D5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4887D5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4887D5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4887D5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4887D5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4887D5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4887D5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4887D5E5"/>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semiHidden/>
    <w:unhideWhenUsed/>
    <w:qFormat/>
    <w:rsid w:val="4887D5E5"/>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05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05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05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05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05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05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05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05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05D2"/>
    <w:rPr>
      <w:rFonts w:eastAsiaTheme="majorEastAsia" w:cstheme="majorBidi"/>
      <w:color w:val="272727" w:themeColor="text1" w:themeTint="D8"/>
    </w:rPr>
  </w:style>
  <w:style w:type="paragraph" w:styleId="Title">
    <w:name w:val="Title"/>
    <w:basedOn w:val="Normal"/>
    <w:next w:val="Normal"/>
    <w:link w:val="TitleChar"/>
    <w:uiPriority w:val="10"/>
    <w:qFormat/>
    <w:rsid w:val="4887D5E5"/>
    <w:pPr>
      <w:spacing w:after="80"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0205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4887D5E5"/>
    <w:rPr>
      <w:rFonts w:eastAsiaTheme="majorEastAsia" w:cstheme="majorBidi"/>
      <w:color w:val="595959" w:themeColor="text1" w:themeTint="A6"/>
      <w:sz w:val="28"/>
      <w:szCs w:val="28"/>
    </w:rPr>
  </w:style>
  <w:style w:type="character" w:customStyle="1" w:styleId="SubtitleChar">
    <w:name w:val="Subtitle Char"/>
    <w:basedOn w:val="DefaultParagraphFont"/>
    <w:link w:val="Subtitle"/>
    <w:uiPriority w:val="11"/>
    <w:rsid w:val="000205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4887D5E5"/>
    <w:pPr>
      <w:spacing w:before="160"/>
      <w:jc w:val="center"/>
    </w:pPr>
    <w:rPr>
      <w:i/>
      <w:iCs/>
      <w:color w:val="404040" w:themeColor="text1" w:themeTint="BF"/>
    </w:rPr>
  </w:style>
  <w:style w:type="character" w:customStyle="1" w:styleId="QuoteChar">
    <w:name w:val="Quote Char"/>
    <w:basedOn w:val="DefaultParagraphFont"/>
    <w:link w:val="Quote"/>
    <w:uiPriority w:val="29"/>
    <w:rsid w:val="000205D2"/>
    <w:rPr>
      <w:i/>
      <w:iCs/>
      <w:color w:val="404040" w:themeColor="text1" w:themeTint="BF"/>
    </w:rPr>
  </w:style>
  <w:style w:type="paragraph" w:styleId="ListParagraph">
    <w:name w:val="List Paragraph"/>
    <w:basedOn w:val="Normal"/>
    <w:uiPriority w:val="34"/>
    <w:qFormat/>
    <w:rsid w:val="4887D5E5"/>
    <w:pPr>
      <w:ind w:left="720"/>
      <w:contextualSpacing/>
    </w:pPr>
  </w:style>
  <w:style w:type="character" w:styleId="IntenseEmphasis">
    <w:name w:val="Intense Emphasis"/>
    <w:basedOn w:val="DefaultParagraphFont"/>
    <w:uiPriority w:val="21"/>
    <w:qFormat/>
    <w:rsid w:val="000205D2"/>
    <w:rPr>
      <w:i/>
      <w:iCs/>
      <w:color w:val="0F4761" w:themeColor="accent1" w:themeShade="BF"/>
    </w:rPr>
  </w:style>
  <w:style w:type="paragraph" w:styleId="IntenseQuote">
    <w:name w:val="Intense Quote"/>
    <w:basedOn w:val="Normal"/>
    <w:next w:val="Normal"/>
    <w:link w:val="IntenseQuoteChar"/>
    <w:uiPriority w:val="30"/>
    <w:qFormat/>
    <w:rsid w:val="4887D5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05D2"/>
    <w:rPr>
      <w:i/>
      <w:iCs/>
      <w:color w:val="0F4761" w:themeColor="accent1" w:themeShade="BF"/>
    </w:rPr>
  </w:style>
  <w:style w:type="character" w:styleId="IntenseReference">
    <w:name w:val="Intense Reference"/>
    <w:basedOn w:val="DefaultParagraphFont"/>
    <w:uiPriority w:val="32"/>
    <w:qFormat/>
    <w:rsid w:val="000205D2"/>
    <w:rPr>
      <w:b/>
      <w:bCs/>
      <w:smallCaps/>
      <w:color w:val="0F4761" w:themeColor="accent1" w:themeShade="BF"/>
      <w:spacing w:val="5"/>
    </w:rPr>
  </w:style>
  <w:style w:type="paragraph" w:styleId="Header">
    <w:name w:val="header"/>
    <w:basedOn w:val="Normal"/>
    <w:link w:val="HeaderChar"/>
    <w:uiPriority w:val="99"/>
    <w:unhideWhenUsed/>
    <w:rsid w:val="4887D5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E2C"/>
  </w:style>
  <w:style w:type="paragraph" w:styleId="Footer">
    <w:name w:val="footer"/>
    <w:basedOn w:val="Normal"/>
    <w:link w:val="FooterChar"/>
    <w:uiPriority w:val="99"/>
    <w:unhideWhenUsed/>
    <w:rsid w:val="4887D5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E2C"/>
  </w:style>
  <w:style w:type="table" w:styleId="TableGrid">
    <w:name w:val="Table Grid"/>
    <w:basedOn w:val="TableNormal"/>
    <w:uiPriority w:val="39"/>
    <w:rsid w:val="00535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33100"/>
    <w:rPr>
      <w:sz w:val="16"/>
      <w:szCs w:val="16"/>
    </w:rPr>
  </w:style>
  <w:style w:type="paragraph" w:styleId="CommentText">
    <w:name w:val="annotation text"/>
    <w:basedOn w:val="Normal"/>
    <w:link w:val="CommentTextChar"/>
    <w:uiPriority w:val="99"/>
    <w:unhideWhenUsed/>
    <w:rsid w:val="4887D5E5"/>
    <w:pPr>
      <w:spacing w:line="240" w:lineRule="auto"/>
    </w:pPr>
    <w:rPr>
      <w:sz w:val="20"/>
      <w:szCs w:val="20"/>
    </w:rPr>
  </w:style>
  <w:style w:type="character" w:customStyle="1" w:styleId="CommentTextChar">
    <w:name w:val="Comment Text Char"/>
    <w:basedOn w:val="DefaultParagraphFont"/>
    <w:link w:val="CommentText"/>
    <w:uiPriority w:val="99"/>
    <w:rsid w:val="00B33100"/>
    <w:rPr>
      <w:sz w:val="20"/>
      <w:szCs w:val="20"/>
    </w:rPr>
  </w:style>
  <w:style w:type="paragraph" w:styleId="CommentSubject">
    <w:name w:val="annotation subject"/>
    <w:basedOn w:val="CommentText"/>
    <w:next w:val="CommentText"/>
    <w:link w:val="CommentSubjectChar"/>
    <w:uiPriority w:val="99"/>
    <w:semiHidden/>
    <w:unhideWhenUsed/>
    <w:rsid w:val="00B33100"/>
    <w:rPr>
      <w:b/>
      <w:bCs/>
    </w:rPr>
  </w:style>
  <w:style w:type="character" w:customStyle="1" w:styleId="CommentSubjectChar">
    <w:name w:val="Comment Subject Char"/>
    <w:basedOn w:val="CommentTextChar"/>
    <w:link w:val="CommentSubject"/>
    <w:uiPriority w:val="99"/>
    <w:semiHidden/>
    <w:rsid w:val="00B33100"/>
    <w:rPr>
      <w:b/>
      <w:bCs/>
      <w:sz w:val="20"/>
      <w:szCs w:val="20"/>
    </w:rPr>
  </w:style>
  <w:style w:type="paragraph" w:styleId="Revision">
    <w:name w:val="Revision"/>
    <w:hidden/>
    <w:uiPriority w:val="99"/>
    <w:semiHidden/>
    <w:rsid w:val="00B33100"/>
    <w:pPr>
      <w:spacing w:after="0" w:line="240" w:lineRule="auto"/>
    </w:pPr>
  </w:style>
  <w:style w:type="character" w:customStyle="1" w:styleId="cf01">
    <w:name w:val="cf01"/>
    <w:basedOn w:val="DefaultParagraphFont"/>
    <w:rsid w:val="00970D1E"/>
    <w:rPr>
      <w:rFonts w:ascii="Segoe UI" w:hAnsi="Segoe UI" w:cs="Segoe UI" w:hint="default"/>
      <w:sz w:val="18"/>
      <w:szCs w:val="18"/>
    </w:rPr>
  </w:style>
  <w:style w:type="paragraph" w:styleId="FootnoteText">
    <w:name w:val="footnote text"/>
    <w:basedOn w:val="Normal"/>
    <w:link w:val="FootnoteTextChar"/>
    <w:uiPriority w:val="99"/>
    <w:semiHidden/>
    <w:unhideWhenUsed/>
    <w:rsid w:val="4887D5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4EA7"/>
    <w:rPr>
      <w:sz w:val="20"/>
      <w:szCs w:val="20"/>
    </w:rPr>
  </w:style>
  <w:style w:type="character" w:styleId="FootnoteReference">
    <w:name w:val="footnote reference"/>
    <w:basedOn w:val="DefaultParagraphFont"/>
    <w:uiPriority w:val="99"/>
    <w:semiHidden/>
    <w:unhideWhenUsed/>
    <w:rsid w:val="00524EA7"/>
    <w:rPr>
      <w:vertAlign w:val="superscript"/>
    </w:rPr>
  </w:style>
  <w:style w:type="paragraph" w:customStyle="1" w:styleId="pf0">
    <w:name w:val="pf0"/>
    <w:basedOn w:val="Normal"/>
    <w:uiPriority w:val="1"/>
    <w:rsid w:val="4887D5E5"/>
    <w:pPr>
      <w:spacing w:beforeAutospacing="1" w:afterAutospacing="1" w:line="240" w:lineRule="auto"/>
      <w:ind w:left="300"/>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4887D5E5"/>
    <w:pPr>
      <w:spacing w:beforeAutospacing="1"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4887D5E5"/>
    <w:pPr>
      <w:widowControl w:val="0"/>
      <w:spacing w:after="0" w:line="240" w:lineRule="auto"/>
    </w:pPr>
  </w:style>
  <w:style w:type="character" w:styleId="Hyperlink">
    <w:name w:val="Hyperlink"/>
    <w:basedOn w:val="DefaultParagraphFont"/>
    <w:uiPriority w:val="99"/>
    <w:unhideWhenUsed/>
    <w:rsid w:val="005E7FDC"/>
    <w:rPr>
      <w:color w:val="467886" w:themeColor="hyperlink"/>
      <w:u w:val="single"/>
    </w:rPr>
  </w:style>
  <w:style w:type="character" w:styleId="UnresolvedMention">
    <w:name w:val="Unresolved Mention"/>
    <w:basedOn w:val="DefaultParagraphFont"/>
    <w:uiPriority w:val="99"/>
    <w:semiHidden/>
    <w:unhideWhenUsed/>
    <w:rsid w:val="005E7F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2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7151B-EA14-4E7B-939E-C0F6D6004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4211</Words>
  <Characters>24723</Characters>
  <Application>Microsoft Office Word</Application>
  <DocSecurity>0</DocSecurity>
  <Lines>494</Lines>
  <Paragraphs>157</Paragraphs>
  <ScaleCrop>false</ScaleCrop>
  <Company/>
  <LinksUpToDate>false</LinksUpToDate>
  <CharactersWithSpaces>28777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Agbessi Amouzou</dc:creator>
  <cp:keywords>, docId:E18600419D541A6920DF468043CBD0A6</cp:keywords>
  <dc:description/>
  <cp:lastModifiedBy>Emma Williams</cp:lastModifiedBy>
  <cp:revision>57</cp:revision>
  <dcterms:created xsi:type="dcterms:W3CDTF">2025-01-03T16:30:00Z</dcterms:created>
  <dcterms:modified xsi:type="dcterms:W3CDTF">2026-02-17T18:23:00Z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2024-12-04T17:42:27Z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034d271c-6919-4f31-98cd-a53bd7644bd9</vt:lpwstr>
  </property>
  <property fmtid="{D5CDD505-2E9C-101B-9397-08002B2CF9AE}" pid="8" name="MSIP_Label_8af03ff0-41c5-4c41-b55e-fabb8fae94be_ContentBits">
    <vt:lpwstr>0</vt:lpwstr>
  </property>
</Properties>
</file>